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b/>
          <w:bCs/>
          <w:color w:val="auto"/>
          <w:sz w:val="30"/>
          <w:szCs w:val="30"/>
          <w:highlight w:val="none"/>
        </w:rPr>
      </w:pPr>
      <w:r/>
      <w:bookmarkStart w:id="0" w:name="_Toc120614210"/>
      <w:r/>
      <w:bookmarkStart w:id="1" w:name="_Toc523127445"/>
      <w:r/>
      <w:bookmarkStart w:id="2" w:name="_Toc479757206"/>
      <w:r/>
      <w:bookmarkStart w:id="3" w:name="_Toc20823272"/>
      <w:r/>
      <w:bookmarkStart w:id="4" w:name="_Toc513029200"/>
      <w:r/>
      <w:bookmarkStart w:id="5" w:name="_Toc16938516"/>
      <w:r/>
      <w:r/>
    </w:p>
    <w:p>
      <w:pPr>
        <w:jc w:val="center"/>
        <w:spacing w:before="120" w:after="120" w:line="360" w:lineRule="auto"/>
        <w:rPr>
          <w:rFonts w:ascii="Arial" w:hAnsi="Arial"/>
          <w:b/>
          <w:bCs/>
          <w:color w:val="auto"/>
          <w:sz w:val="30"/>
          <w:szCs w:val="30"/>
          <w:highlight w:val="none"/>
        </w:rPr>
      </w:pPr>
      <w:r>
        <w:rPr>
          <w:rFonts w:ascii="Arial" w:hAnsi="Arial"/>
          <w:b/>
          <w:bCs/>
          <w:color w:val="auto"/>
          <w:sz w:val="30"/>
          <w:szCs w:val="30"/>
          <w:highlight w:val="none"/>
        </w:rPr>
      </w:r>
      <w:r/>
    </w:p>
    <w:p>
      <w:pPr>
        <w:jc w:val="center"/>
        <w:spacing w:before="120" w:after="120" w:line="360" w:lineRule="auto"/>
        <w:rPr>
          <w:rFonts w:hint="eastAsia" w:ascii="Arial" w:hAnsi="Arial" w:eastAsia="宋体"/>
          <w:b/>
          <w:bCs/>
          <w:color w:val="auto"/>
          <w:sz w:val="30"/>
          <w:szCs w:val="30"/>
          <w:highlight w:val="none"/>
          <w:lang w:eastAsia="zh-CN"/>
        </w:rPr>
      </w:pPr>
      <w:r>
        <w:rPr>
          <w:rFonts w:hint="eastAsia" w:ascii="Arial" w:hAnsi="Arial"/>
          <w:b/>
          <w:bCs/>
          <w:color w:val="auto"/>
          <w:sz w:val="30"/>
          <w:szCs w:val="30"/>
          <w:highlight w:val="none"/>
        </w:rPr>
        <w:t xml:space="preserve">项目名称：</w:t>
      </w:r>
      <w:r>
        <w:rPr>
          <w:rFonts w:hint="eastAsia" w:ascii="Arial" w:hAnsi="Arial"/>
          <w:b/>
          <w:bCs/>
          <w:color w:val="auto"/>
          <w:sz w:val="30"/>
          <w:szCs w:val="30"/>
          <w:highlight w:val="none"/>
          <w:lang w:eastAsia="zh-CN"/>
        </w:rPr>
        <w:t xml:space="preserve">先锋街道危桥改造工程（第二次）</w:t>
      </w:r>
      <w:r/>
    </w:p>
    <w:p>
      <w:pPr>
        <w:jc w:val="center"/>
        <w:spacing w:before="120" w:after="120" w:line="360" w:lineRule="auto"/>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 xml:space="preserve">项目编号：JSZC-320612-NTJR-C2025-0065</w:t>
      </w:r>
      <w:r>
        <w:rPr>
          <w:rFonts w:hint="eastAsia" w:ascii="Arial" w:hAnsi="Arial"/>
          <w:b/>
          <w:bCs/>
          <w:color w:val="auto"/>
          <w:sz w:val="30"/>
          <w:szCs w:val="30"/>
          <w:highlight w:val="none"/>
          <w:lang w:val="en-US" w:eastAsia="zh-CN"/>
        </w:rPr>
        <w:t xml:space="preserve">  </w:t>
      </w:r>
      <w:r/>
    </w:p>
    <w:p>
      <w:pPr>
        <w:ind w:left="2100" w:hanging="2100"/>
        <w:spacing w:line="360" w:lineRule="auto"/>
        <w:rPr>
          <w:rFonts w:hint="eastAsia" w:ascii="宋体" w:hAnsi="宋体" w:cs="宋体"/>
          <w:color w:val="auto"/>
          <w:sz w:val="32"/>
          <w:highlight w:val="none"/>
        </w:rPr>
      </w:pPr>
      <w:r>
        <w:rPr>
          <w:rFonts w:hint="eastAsia" w:ascii="Times New Roman" w:hAnsi="Times New Roman"/>
          <w:color w:val="auto"/>
          <w:szCs w:val="21"/>
          <w:highlight w:val="none"/>
        </w:rPr>
        <w:t xml:space="preserve"> </w:t>
      </w:r>
      <w:r>
        <w:rPr>
          <w:rFonts w:hint="eastAsia" w:ascii="宋体" w:hAnsi="宋体" w:cs="宋体"/>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136.5pt;mso-position-horizontal:absolute;mso-position-vertical-relative:text;margin-top:95.0pt;mso-position-vertical:absolute;width:183.8pt;height:140.9pt;mso-wrap-distance-left:9.0pt;mso-wrap-distance-top:0.0pt;mso-wrap-distance-right:9.0pt;mso-wrap-distance-bottom:0.0pt;" filled="f" stroked="f">
            <v:path textboxrect="0,0,0,0"/>
            <w10:wrap type="topAndBottom"/>
            <v:imagedata r:id="rId21" o:title=""/>
          </v:shape>
          <o:OLEObject DrawAspect="Content" r:id="rId22" ObjectID="_1525043" ProgID="MS_ClipArt_Gallery" ShapeID="_x0000_i3" Type="Embed"/>
        </w:objec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ascii="宋体" w:hAnsi="宋体" w:cs="宋体"/>
          <w:b/>
          <w:color w:val="auto"/>
          <w:spacing w:val="20"/>
          <w:sz w:val="44"/>
          <w:highlight w:val="none"/>
        </w:rPr>
        <w:outlineLvl w:val="0"/>
      </w:pPr>
      <w:r>
        <w:rPr>
          <w:rFonts w:ascii="宋体" w:hAnsi="宋体" w:cs="宋体"/>
          <w:b/>
          <w:color w:val="auto"/>
          <w:spacing w:val="20"/>
          <w:sz w:val="44"/>
          <w:highlight w:val="none"/>
        </w:rPr>
      </w:r>
      <w:r/>
    </w:p>
    <w:p>
      <w:pPr>
        <w:spacing w:line="360" w:lineRule="auto"/>
        <w:rPr>
          <w:rFonts w:hint="eastAsia" w:ascii="宋体" w:hAnsi="宋体" w:cs="宋体"/>
          <w:b/>
          <w:color w:val="auto"/>
          <w:spacing w:val="20"/>
          <w:sz w:val="44"/>
          <w:highlight w:val="none"/>
        </w:rPr>
        <w:outlineLvl w:val="0"/>
      </w:pPr>
      <w:r>
        <w:rPr>
          <w:rFonts w:hint="eastAsia" w:ascii="宋体" w:hAnsi="宋体" w:cs="宋体"/>
          <w:b/>
          <w:color w:val="auto"/>
          <w:spacing w:val="20"/>
          <w:sz w:val="44"/>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南通市通州区先锋街道办事处</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代理机构：南通建仁房地产评估工程项目管理有限公司</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日  期：202</w:t>
      </w:r>
      <w:r>
        <w:rPr>
          <w:rFonts w:hint="eastAsia" w:ascii="宋体" w:hAnsi="宋体" w:cs="宋体"/>
          <w:b/>
          <w:bCs/>
          <w:color w:val="auto"/>
          <w:sz w:val="30"/>
          <w:szCs w:val="30"/>
          <w:highlight w:val="none"/>
          <w:lang w:val="en-US" w:eastAsia="zh-CN"/>
        </w:rPr>
        <w:t xml:space="preserve">5</w:t>
      </w:r>
      <w:r>
        <w:rPr>
          <w:rFonts w:hint="eastAsia" w:ascii="宋体" w:hAnsi="宋体" w:cs="宋体"/>
          <w:b/>
          <w:bCs/>
          <w:color w:val="auto"/>
          <w:sz w:val="30"/>
          <w:szCs w:val="30"/>
          <w:highlight w:val="none"/>
        </w:rPr>
        <w:t xml:space="preserve">年</w:t>
      </w:r>
      <w:r>
        <w:rPr>
          <w:rFonts w:hint="eastAsia" w:ascii="宋体" w:hAnsi="宋体" w:cs="宋体"/>
          <w:b/>
          <w:bCs/>
          <w:color w:val="auto"/>
          <w:sz w:val="30"/>
          <w:szCs w:val="30"/>
          <w:highlight w:val="none"/>
          <w:lang w:val="en-US" w:eastAsia="zh-CN"/>
        </w:rPr>
        <w:t xml:space="preserve">11</w:t>
      </w:r>
      <w:r>
        <w:rPr>
          <w:rFonts w:hint="eastAsia" w:ascii="宋体" w:hAnsi="宋体" w:cs="宋体"/>
          <w:b/>
          <w:bCs/>
          <w:color w:val="auto"/>
          <w:sz w:val="30"/>
          <w:szCs w:val="30"/>
          <w:highlight w:val="none"/>
        </w:rPr>
        <w:t xml:space="preserve">月</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1251"/>
        <w:jc w:val="center"/>
        <w:spacing w:line="360" w:lineRule="auto"/>
        <w:rPr>
          <w:rFonts w:ascii="Times New Roman" w:eastAsia="宋体"/>
          <w:color w:val="auto"/>
          <w:sz w:val="25"/>
          <w:szCs w:val="25"/>
          <w:highlight w:val="none"/>
        </w:rPr>
      </w:pPr>
      <w:r>
        <w:rPr>
          <w:rFonts w:hint="eastAsia" w:ascii="Times New Roman" w:eastAsia="宋体" w:cs="宋体"/>
          <w:b/>
          <w:bCs/>
          <w:color w:val="auto"/>
          <w:sz w:val="48"/>
          <w:szCs w:val="48"/>
          <w:highlight w:val="none"/>
        </w:rPr>
      </w:r>
      <w:r>
        <w:rPr>
          <w:rFonts w:hint="eastAsia" w:ascii="Times New Roman" w:eastAsia="宋体" w:cs="宋体"/>
          <w:b/>
          <w:bCs/>
          <w:color w:val="auto"/>
          <w:sz w:val="48"/>
          <w:szCs w:val="48"/>
          <w:highlight w:val="none"/>
        </w:rPr>
      </w:r>
      <w:r/>
    </w:p>
    <w:p>
      <w:pPr>
        <w:pStyle w:val="1251"/>
        <w:jc w:val="center"/>
        <w:spacing w:line="360" w:lineRule="auto"/>
        <w:rPr>
          <w:rFonts w:hint="eastAsia" w:ascii="Times New Roman" w:eastAsia="宋体" w:cs="宋体"/>
          <w:b/>
          <w:bCs/>
          <w:color w:val="auto"/>
          <w:sz w:val="48"/>
          <w:szCs w:val="48"/>
          <w:highlight w:val="none"/>
        </w:rPr>
      </w:pPr>
      <w:r>
        <w:rPr>
          <w:rFonts w:hint="eastAsia" w:ascii="Times New Roman" w:eastAsia="宋体" w:cs="宋体"/>
          <w:b/>
          <w:bCs/>
          <w:color w:val="auto"/>
          <w:sz w:val="48"/>
          <w:szCs w:val="48"/>
          <w:highlight w:val="none"/>
        </w:rPr>
        <w:t xml:space="preserve">磋商文件备案表</w:t>
      </w:r>
      <w:r/>
    </w:p>
    <w:tbl>
      <w:tblPr>
        <w:tblStyle w:val="942"/>
        <w:tblpPr w:horzAnchor="margin" w:tblpXSpec="left" w:vertAnchor="text" w:tblpY="41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0"/>
      </w:tblGrid>
      <w:tr>
        <w:trPr>
          <w:trHeight w:val="4892"/>
        </w:trPr>
        <w:tc>
          <w:tcPr>
            <w:tcW w:w="8820" w:type="dxa"/>
            <w:vAlign w:val="top"/>
            <w:textDirection w:val="lrTb"/>
            <w:noWrap w:val="false"/>
          </w:tcPr>
          <w:p>
            <w:pPr>
              <w:spacing w:line="360" w:lineRule="auto"/>
              <w:tabs>
                <w:tab w:val="left" w:pos="5190" w:leader="none"/>
              </w:tabs>
              <w:rPr>
                <w:rFonts w:ascii="宋体"/>
                <w:color w:val="auto"/>
                <w:sz w:val="28"/>
                <w:szCs w:val="28"/>
                <w:highlight w:val="none"/>
              </w:rPr>
            </w:pPr>
            <w:r>
              <w:rPr>
                <w:rFonts w:ascii="宋体"/>
                <w:color w:val="auto"/>
                <w:sz w:val="28"/>
                <w:szCs w:val="28"/>
                <w:highlight w:val="none"/>
              </w:rPr>
              <w:tab/>
            </w:r>
            <w:r/>
          </w:p>
          <w:p>
            <w:pPr>
              <w:spacing w:line="360" w:lineRule="auto"/>
              <w:tabs>
                <w:tab w:val="right" w:pos="8835" w:leader="dot"/>
              </w:tabs>
              <w:rPr>
                <w:rFonts w:ascii="宋体" w:hAnsi="宋体"/>
                <w:color w:val="auto"/>
                <w:sz w:val="28"/>
                <w:szCs w:val="28"/>
                <w:highlight w:val="none"/>
              </w:rPr>
            </w:pPr>
            <w:r>
              <w:rPr>
                <w:rFonts w:hint="eastAsia" w:ascii="宋体" w:hAnsi="宋体"/>
                <w:color w:val="auto"/>
                <w:sz w:val="28"/>
                <w:szCs w:val="28"/>
                <w:highlight w:val="none"/>
              </w:rPr>
              <w:t xml:space="preserve">采购代理：</w:t>
            </w:r>
            <w:r>
              <w:rPr>
                <w:rFonts w:ascii="宋体" w:hAnsi="宋体"/>
                <w:color w:val="auto"/>
                <w:sz w:val="28"/>
                <w:szCs w:val="28"/>
                <w:highlight w:val="none"/>
              </w:rPr>
              <w:t xml:space="preserve">(</w:t>
            </w:r>
            <w:r>
              <w:rPr>
                <w:rFonts w:hint="eastAsia" w:ascii="宋体" w:hAnsi="宋体"/>
                <w:color w:val="auto"/>
                <w:sz w:val="28"/>
                <w:szCs w:val="28"/>
                <w:highlight w:val="none"/>
              </w:rPr>
              <w:t xml:space="preserve">盖章</w:t>
            </w:r>
            <w:r>
              <w:rPr>
                <w:rFonts w:ascii="宋体" w:hAnsi="宋体"/>
                <w:color w:val="auto"/>
                <w:sz w:val="28"/>
                <w:szCs w:val="28"/>
                <w:highlight w:val="none"/>
              </w:rPr>
              <w:t xml:space="preserve">)</w:t>
            </w:r>
            <w:r/>
          </w:p>
          <w:p>
            <w:pPr>
              <w:spacing w:line="360" w:lineRule="auto"/>
              <w:tabs>
                <w:tab w:val="right" w:pos="8835" w:leader="dot"/>
              </w:tabs>
              <w:rPr>
                <w:rFonts w:ascii="宋体" w:hAnsi="宋体"/>
                <w:color w:val="auto"/>
                <w:sz w:val="28"/>
                <w:szCs w:val="28"/>
                <w:highlight w:val="none"/>
              </w:rPr>
            </w:pPr>
            <w:r>
              <w:rPr>
                <w:rFonts w:ascii="宋体" w:hAnsi="宋体"/>
                <w:color w:val="auto"/>
                <w:sz w:val="28"/>
                <w:szCs w:val="28"/>
                <w:highlight w:val="none"/>
              </w:rPr>
            </w:r>
            <w:r/>
          </w:p>
          <w:p>
            <w:pPr>
              <w:pStyle w:val="965"/>
              <w:jc w:val="both"/>
              <w:rPr>
                <w:color w:val="auto"/>
                <w:highlight w:val="none"/>
              </w:rPr>
            </w:pPr>
            <w:r>
              <w:rPr>
                <w:color w:val="auto"/>
                <w:highlight w:val="none"/>
              </w:rPr>
            </w:r>
            <w:r/>
          </w:p>
          <w:p>
            <w:pPr>
              <w:spacing w:line="360" w:lineRule="auto"/>
              <w:tabs>
                <w:tab w:val="right" w:pos="8835" w:leader="dot"/>
              </w:tabs>
              <w:rPr>
                <w:rFonts w:ascii="宋体"/>
                <w:color w:val="auto"/>
                <w:sz w:val="28"/>
                <w:szCs w:val="28"/>
                <w:highlight w:val="none"/>
              </w:rPr>
            </w:pPr>
            <w:r>
              <w:rPr>
                <w:rFonts w:hint="eastAsia" w:ascii="宋体" w:hAnsi="宋体"/>
                <w:color w:val="auto"/>
                <w:sz w:val="28"/>
                <w:szCs w:val="28"/>
                <w:highlight w:val="none"/>
              </w:rPr>
              <w:t xml:space="preserve">编制人：陈柯柯</w:t>
            </w:r>
            <w:r/>
          </w:p>
          <w:p>
            <w:pPr>
              <w:pStyle w:val="965"/>
              <w:jc w:val="both"/>
              <w:rPr>
                <w:color w:val="auto"/>
                <w:highlight w:val="none"/>
              </w:rPr>
            </w:pPr>
            <w:r>
              <w:rPr>
                <w:color w:val="auto"/>
                <w:highlight w:val="none"/>
              </w:rPr>
            </w:r>
            <w:r/>
          </w:p>
          <w:p>
            <w:pPr>
              <w:spacing w:line="360" w:lineRule="auto"/>
              <w:tabs>
                <w:tab w:val="right" w:pos="8835" w:leader="dot"/>
              </w:tabs>
              <w:rPr>
                <w:rFonts w:hint="eastAsia" w:ascii="宋体" w:eastAsia="宋体"/>
                <w:color w:val="auto"/>
                <w:sz w:val="28"/>
                <w:szCs w:val="28"/>
                <w:highlight w:val="none"/>
                <w:lang w:eastAsia="zh-CN"/>
              </w:rPr>
            </w:pPr>
            <w:r>
              <w:rPr>
                <w:rFonts w:hint="eastAsia" w:ascii="宋体" w:hAnsi="宋体"/>
                <w:color w:val="auto"/>
                <w:sz w:val="28"/>
                <w:szCs w:val="28"/>
                <w:highlight w:val="none"/>
              </w:rPr>
              <w:t xml:space="preserve">日期：</w:t>
            </w:r>
            <w:r>
              <w:rPr>
                <w:rFonts w:hint="eastAsia" w:ascii="宋体" w:hAnsi="宋体"/>
                <w:color w:val="auto"/>
                <w:sz w:val="28"/>
                <w:szCs w:val="28"/>
                <w:highlight w:val="none"/>
                <w:lang w:val="en-US" w:eastAsia="zh-CN"/>
              </w:rPr>
              <w:t xml:space="preserve"> </w:t>
            </w:r>
            <w:r/>
          </w:p>
        </w:tc>
      </w:tr>
      <w:tr>
        <w:trPr>
          <w:trHeight w:val="6371"/>
        </w:trPr>
        <w:tc>
          <w:tcPr>
            <w:tcW w:w="8820" w:type="dxa"/>
            <w:vAlign w:val="top"/>
            <w:textDirection w:val="lrTb"/>
            <w:noWrap w:val="false"/>
          </w:tcPr>
          <w:p>
            <w:pPr>
              <w:spacing w:line="360" w:lineRule="auto"/>
              <w:tabs>
                <w:tab w:val="right" w:pos="8835" w:leader="dot"/>
              </w:tabs>
              <w:rPr>
                <w:rFonts w:ascii="宋体"/>
                <w:color w:val="auto"/>
                <w:sz w:val="28"/>
                <w:szCs w:val="28"/>
                <w:highlight w:val="none"/>
              </w:rPr>
            </w:pPr>
            <w:r>
              <w:rPr>
                <w:rFonts w:ascii="宋体"/>
                <w:color w:val="auto"/>
                <w:sz w:val="28"/>
                <w:szCs w:val="28"/>
                <w:highlight w:val="none"/>
              </w:rPr>
            </w:r>
            <w:r/>
          </w:p>
          <w:p>
            <w:pPr>
              <w:spacing w:line="360" w:lineRule="auto"/>
              <w:tabs>
                <w:tab w:val="right" w:pos="8835" w:leader="dot"/>
              </w:tabs>
              <w:rPr>
                <w:rFonts w:ascii="宋体"/>
                <w:color w:val="auto"/>
                <w:sz w:val="28"/>
                <w:szCs w:val="28"/>
                <w:highlight w:val="none"/>
              </w:rPr>
            </w:pPr>
            <w:r>
              <w:rPr>
                <w:rFonts w:ascii="宋体"/>
                <w:color w:val="auto"/>
                <w:sz w:val="28"/>
                <w:szCs w:val="28"/>
                <w:highlight w:val="none"/>
              </w:rPr>
            </w:r>
            <w:r/>
          </w:p>
          <w:p>
            <w:pPr>
              <w:spacing w:line="360" w:lineRule="auto"/>
              <w:tabs>
                <w:tab w:val="right" w:pos="8835" w:leader="dot"/>
              </w:tabs>
              <w:rPr>
                <w:rFonts w:ascii="宋体" w:hAnsi="宋体"/>
                <w:color w:val="auto"/>
                <w:sz w:val="28"/>
                <w:szCs w:val="28"/>
                <w:highlight w:val="none"/>
              </w:rPr>
            </w:pPr>
            <w:r>
              <w:rPr>
                <w:rFonts w:hint="eastAsia" w:ascii="宋体" w:hAnsi="宋体"/>
                <w:color w:val="auto"/>
                <w:sz w:val="28"/>
                <w:szCs w:val="28"/>
                <w:highlight w:val="none"/>
              </w:rPr>
              <w:t xml:space="preserve">采购人：</w:t>
            </w:r>
            <w:r>
              <w:rPr>
                <w:rFonts w:ascii="宋体" w:hAnsi="宋体"/>
                <w:color w:val="auto"/>
                <w:sz w:val="28"/>
                <w:szCs w:val="28"/>
                <w:highlight w:val="none"/>
              </w:rPr>
              <w:t xml:space="preserve">(</w:t>
            </w:r>
            <w:r>
              <w:rPr>
                <w:rFonts w:hint="eastAsia" w:ascii="宋体" w:hAnsi="宋体"/>
                <w:color w:val="auto"/>
                <w:sz w:val="28"/>
                <w:szCs w:val="28"/>
                <w:highlight w:val="none"/>
              </w:rPr>
              <w:t xml:space="preserve">盖章</w:t>
            </w:r>
            <w:r>
              <w:rPr>
                <w:rFonts w:ascii="宋体" w:hAnsi="宋体"/>
                <w:color w:val="auto"/>
                <w:sz w:val="28"/>
                <w:szCs w:val="28"/>
                <w:highlight w:val="none"/>
              </w:rPr>
              <w:t xml:space="preserve">)                  </w:t>
            </w:r>
            <w:r/>
          </w:p>
          <w:p>
            <w:pPr>
              <w:spacing w:line="360" w:lineRule="auto"/>
              <w:tabs>
                <w:tab w:val="right" w:pos="8835" w:leader="dot"/>
              </w:tabs>
              <w:rPr>
                <w:rFonts w:ascii="宋体" w:hAnsi="宋体"/>
                <w:color w:val="auto"/>
                <w:sz w:val="28"/>
                <w:szCs w:val="28"/>
                <w:highlight w:val="none"/>
              </w:rPr>
            </w:pPr>
            <w:r>
              <w:rPr>
                <w:rFonts w:ascii="宋体" w:hAnsi="宋体"/>
                <w:color w:val="auto"/>
                <w:sz w:val="28"/>
                <w:szCs w:val="28"/>
                <w:highlight w:val="none"/>
              </w:rPr>
            </w:r>
            <w:r/>
          </w:p>
          <w:p>
            <w:pPr>
              <w:spacing w:line="360" w:lineRule="auto"/>
              <w:tabs>
                <w:tab w:val="right" w:pos="8835" w:leader="dot"/>
              </w:tabs>
              <w:rPr>
                <w:rFonts w:ascii="宋体" w:hAnsi="宋体"/>
                <w:color w:val="auto"/>
                <w:sz w:val="28"/>
                <w:szCs w:val="28"/>
                <w:highlight w:val="none"/>
              </w:rPr>
            </w:pPr>
            <w:r>
              <w:rPr>
                <w:rFonts w:ascii="宋体" w:hAnsi="宋体"/>
                <w:color w:val="auto"/>
                <w:sz w:val="28"/>
                <w:szCs w:val="28"/>
                <w:highlight w:val="none"/>
              </w:rPr>
            </w:r>
            <w:r/>
          </w:p>
          <w:p>
            <w:pPr>
              <w:spacing w:line="360" w:lineRule="auto"/>
              <w:tabs>
                <w:tab w:val="right" w:pos="8835" w:leader="dot"/>
              </w:tabs>
              <w:rPr>
                <w:rFonts w:ascii="宋体"/>
                <w:color w:val="auto"/>
                <w:sz w:val="28"/>
                <w:szCs w:val="28"/>
                <w:highlight w:val="none"/>
              </w:rPr>
            </w:pPr>
            <w:r>
              <w:rPr>
                <w:rFonts w:hint="eastAsia" w:ascii="宋体" w:hAnsi="宋体"/>
                <w:color w:val="auto"/>
                <w:sz w:val="28"/>
                <w:szCs w:val="28"/>
                <w:highlight w:val="none"/>
              </w:rPr>
              <w:t xml:space="preserve">审阅人（签字）：</w:t>
            </w:r>
            <w:r/>
          </w:p>
          <w:p>
            <w:pPr>
              <w:spacing w:line="360" w:lineRule="auto"/>
              <w:tabs>
                <w:tab w:val="right" w:pos="8835" w:leader="dot"/>
              </w:tabs>
              <w:rPr>
                <w:rFonts w:ascii="宋体"/>
                <w:color w:val="auto"/>
                <w:sz w:val="28"/>
                <w:szCs w:val="28"/>
                <w:highlight w:val="none"/>
              </w:rPr>
            </w:pPr>
            <w:r>
              <w:rPr>
                <w:rFonts w:ascii="宋体"/>
                <w:color w:val="auto"/>
                <w:sz w:val="28"/>
                <w:szCs w:val="28"/>
                <w:highlight w:val="none"/>
              </w:rPr>
            </w:r>
            <w:r/>
          </w:p>
          <w:p>
            <w:pPr>
              <w:spacing w:line="360" w:lineRule="auto"/>
              <w:tabs>
                <w:tab w:val="right" w:pos="8835" w:leader="dot"/>
              </w:tabs>
              <w:rPr>
                <w:rFonts w:ascii="宋体" w:hAnsi="宋体"/>
                <w:color w:val="auto"/>
                <w:sz w:val="28"/>
                <w:szCs w:val="28"/>
                <w:highlight w:val="none"/>
              </w:rPr>
            </w:pPr>
            <w:r>
              <w:rPr>
                <w:rFonts w:ascii="宋体" w:hAnsi="宋体"/>
                <w:color w:val="auto"/>
                <w:sz w:val="28"/>
                <w:szCs w:val="28"/>
                <w:highlight w:val="none"/>
              </w:rPr>
            </w:r>
            <w:r/>
          </w:p>
          <w:p>
            <w:pPr>
              <w:spacing w:line="360" w:lineRule="auto"/>
              <w:tabs>
                <w:tab w:val="right" w:pos="8835" w:leader="dot"/>
              </w:tabs>
              <w:rPr>
                <w:rFonts w:ascii="宋体"/>
                <w:color w:val="auto"/>
                <w:sz w:val="28"/>
                <w:szCs w:val="28"/>
                <w:highlight w:val="none"/>
              </w:rPr>
            </w:pPr>
            <w:r>
              <w:rPr>
                <w:rFonts w:hint="eastAsia" w:ascii="宋体" w:hAnsi="宋体"/>
                <w:color w:val="auto"/>
                <w:sz w:val="28"/>
                <w:szCs w:val="28"/>
                <w:highlight w:val="none"/>
              </w:rPr>
              <w:t xml:space="preserve">日期：</w:t>
            </w:r>
            <w:r/>
          </w:p>
        </w:tc>
      </w:tr>
    </w:tbl>
    <w:p>
      <w:pPr>
        <w:jc w:val="center"/>
        <w:spacing w:line="360" w:lineRule="auto"/>
        <w:rPr>
          <w:rFonts w:hint="eastAsia" w:ascii="黑体" w:hAnsi="Arial" w:eastAsia="黑体"/>
          <w:b/>
          <w:color w:val="auto"/>
          <w:sz w:val="44"/>
          <w:szCs w:val="21"/>
          <w:highlight w:val="none"/>
        </w:rPr>
      </w:pPr>
      <w:r>
        <w:rPr>
          <w:rFonts w:hint="eastAsia" w:ascii="黑体" w:hAnsi="Arial" w:eastAsia="黑体"/>
          <w:b/>
          <w:color w:val="auto"/>
          <w:sz w:val="44"/>
          <w:szCs w:val="21"/>
          <w:highlight w:val="none"/>
        </w:rPr>
      </w:r>
      <w:r/>
    </w:p>
    <w:p>
      <w:pPr>
        <w:jc w:val="center"/>
        <w:spacing w:line="360" w:lineRule="auto"/>
        <w:rPr>
          <w:rFonts w:ascii="宋体" w:hAnsi="宋体"/>
          <w:b/>
          <w:color w:val="auto"/>
          <w:sz w:val="36"/>
          <w:szCs w:val="36"/>
          <w:highlight w:val="none"/>
        </w:rPr>
        <w:outlineLvl w:val="0"/>
      </w:pPr>
      <w:r>
        <w:rPr>
          <w:rFonts w:ascii="宋体" w:hAnsi="宋体"/>
          <w:b/>
          <w:color w:val="auto"/>
          <w:sz w:val="36"/>
          <w:szCs w:val="36"/>
          <w:highlight w:val="none"/>
        </w:rPr>
      </w:r>
      <w:r/>
    </w:p>
    <w:p>
      <w:pPr>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t xml:space="preserve">总  目  录</w:t>
      </w:r>
      <w:r/>
    </w:p>
    <w:p>
      <w:pP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jc w:val="center"/>
        <w:keepNext/>
        <w:spacing w:line="360" w:lineRule="auto"/>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受[</w:t>
      </w:r>
      <w:r>
        <w:rPr>
          <w:rFonts w:hint="eastAsia" w:ascii="宋体" w:hAnsi="宋体"/>
          <w:color w:val="auto"/>
          <w:sz w:val="24"/>
          <w:szCs w:val="24"/>
          <w:highlight w:val="none"/>
          <w:lang w:eastAsia="zh-CN"/>
        </w:rPr>
        <w:t xml:space="preserve">南通市通州区先锋街道办事处</w:t>
      </w:r>
      <w:r>
        <w:rPr>
          <w:rFonts w:hint="eastAsia" w:ascii="宋体" w:hAnsi="宋体"/>
          <w:color w:val="auto"/>
          <w:sz w:val="24"/>
          <w:szCs w:val="24"/>
          <w:highlight w:val="none"/>
        </w:rPr>
        <w:t xml:space="preserve">]的委托，南通建仁房地产评估工程项目管理有限公司就[</w:t>
      </w:r>
      <w:r>
        <w:rPr>
          <w:rFonts w:hint="eastAsia" w:ascii="宋体" w:hAnsi="宋体" w:cs="宋体"/>
          <w:color w:val="auto"/>
          <w:sz w:val="24"/>
          <w:highlight w:val="none"/>
          <w:lang w:eastAsia="zh-CN"/>
        </w:rPr>
        <w:t xml:space="preserve">先锋街道危桥改造工程（第二次）</w:t>
      </w:r>
      <w:r>
        <w:rPr>
          <w:rFonts w:hint="eastAsia" w:ascii="宋体" w:hAnsi="宋体"/>
          <w:color w:val="auto"/>
          <w:sz w:val="24"/>
          <w:szCs w:val="24"/>
          <w:highlight w:val="none"/>
        </w:rPr>
        <w:t xml:space="preserve">]([项目编号：JSZC-320612-NTJR-C2025-0065])项目进行竞争性磋商采购，欢迎符合条件的供应商参加磋商。</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360" w:lineRule="auto"/>
        <w:rPr>
          <w:rFonts w:ascii="宋体" w:hAnsi="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先锋街道危桥改造工程（第二次）</w:t>
      </w:r>
      <w:r>
        <w:rPr>
          <w:rFonts w:hint="eastAsia" w:ascii="宋体" w:hAnsi="宋体"/>
          <w:color w:val="auto"/>
          <w:sz w:val="24"/>
          <w:szCs w:val="24"/>
          <w:highlight w:val="none"/>
        </w:rPr>
        <w:t xml:space="preserve">竞争性磋商项目的潜在供应商可在</w:t>
      </w:r>
      <w:r>
        <w:rPr>
          <w:rFonts w:hint="eastAsia" w:ascii="宋体" w:hAnsi="宋体"/>
          <w:color w:val="auto"/>
          <w:sz w:val="24"/>
          <w:szCs w:val="24"/>
          <w:highlight w:val="none"/>
          <w:u w:val="single"/>
        </w:rPr>
        <w:t xml:space="preserve">“江苏政府采购网”自行免费下载</w:t>
      </w:r>
      <w:r>
        <w:rPr>
          <w:rFonts w:hint="eastAsia" w:ascii="宋体" w:hAnsi="宋体"/>
          <w:color w:val="auto"/>
          <w:sz w:val="24"/>
          <w:szCs w:val="24"/>
          <w:highlight w:val="none"/>
        </w:rPr>
        <w:t xml:space="preserve">磋商文件，并于</w:t>
      </w:r>
      <w:r>
        <w:rPr>
          <w:rFonts w:hint="eastAsia" w:ascii="宋体" w:hAnsi="宋体"/>
          <w:color w:val="auto"/>
          <w:sz w:val="24"/>
          <w:szCs w:val="24"/>
          <w:highlight w:val="none"/>
          <w:u w:val="single"/>
        </w:rPr>
        <w:t xml:space="preserve">202</w:t>
      </w:r>
      <w:r>
        <w:rPr>
          <w:rFonts w:hint="eastAsia" w:ascii="宋体" w:hAnsi="宋体"/>
          <w:color w:val="auto"/>
          <w:sz w:val="24"/>
          <w:szCs w:val="24"/>
          <w:highlight w:val="none"/>
          <w:u w:val="single"/>
          <w:lang w:val="en-US" w:eastAsia="zh-CN"/>
        </w:rPr>
        <w:t xml:space="preserve">5</w:t>
      </w:r>
      <w:r>
        <w:rPr>
          <w:rFonts w:hint="eastAsia" w:ascii="宋体" w:hAnsi="宋体"/>
          <w:bCs/>
          <w:color w:val="auto"/>
          <w:sz w:val="24"/>
          <w:szCs w:val="24"/>
          <w:highlight w:val="none"/>
          <w:u w:val="single"/>
        </w:rPr>
        <w:t xml:space="preserve">年</w:t>
      </w:r>
      <w:r>
        <w:rPr>
          <w:rFonts w:hint="eastAsia" w:ascii="宋体" w:hAnsi="宋体"/>
          <w:bCs/>
          <w:color w:val="auto"/>
          <w:sz w:val="24"/>
          <w:szCs w:val="24"/>
          <w:highlight w:val="none"/>
          <w:u w:val="single"/>
          <w:lang w:val="en-US" w:eastAsia="zh-CN"/>
        </w:rPr>
        <w:t xml:space="preserve">12</w:t>
      </w:r>
      <w:r>
        <w:rPr>
          <w:rFonts w:hint="eastAsia" w:ascii="宋体" w:hAnsi="宋体"/>
          <w:bCs/>
          <w:color w:val="auto"/>
          <w:sz w:val="24"/>
          <w:szCs w:val="24"/>
          <w:highlight w:val="none"/>
          <w:u w:val="single"/>
        </w:rPr>
        <w:t xml:space="preserve">月</w:t>
      </w:r>
      <w:r>
        <w:rPr>
          <w:rFonts w:hint="eastAsia" w:ascii="宋体" w:hAnsi="宋体"/>
          <w:bCs/>
          <w:color w:val="auto"/>
          <w:sz w:val="24"/>
          <w:szCs w:val="24"/>
          <w:highlight w:val="none"/>
          <w:u w:val="single"/>
          <w:lang w:val="en-US" w:eastAsia="zh-CN"/>
        </w:rPr>
        <w:t xml:space="preserve">1</w:t>
      </w:r>
      <w:r>
        <w:rPr>
          <w:rFonts w:hint="eastAsia" w:ascii="宋体" w:hAnsi="宋体"/>
          <w:bCs/>
          <w:color w:val="auto"/>
          <w:sz w:val="24"/>
          <w:szCs w:val="24"/>
          <w:highlight w:val="none"/>
          <w:u w:val="single"/>
        </w:rPr>
        <w:t xml:space="preserve">日</w:t>
      </w:r>
      <w:r>
        <w:rPr>
          <w:rFonts w:hint="eastAsia" w:ascii="宋体" w:hAnsi="宋体"/>
          <w:bCs/>
          <w:color w:val="auto"/>
          <w:sz w:val="24"/>
          <w:szCs w:val="24"/>
          <w:highlight w:val="none"/>
          <w:u w:val="single"/>
          <w:lang w:val="en-US" w:eastAsia="zh-CN"/>
        </w:rPr>
        <w:t xml:space="preserve">14</w:t>
      </w:r>
      <w:r>
        <w:rPr>
          <w:rFonts w:hint="eastAsia" w:ascii="宋体" w:hAnsi="宋体"/>
          <w:bCs/>
          <w:color w:val="auto"/>
          <w:sz w:val="24"/>
          <w:szCs w:val="24"/>
          <w:highlight w:val="none"/>
          <w:u w:val="single"/>
        </w:rPr>
        <w:t xml:space="preserve">点</w:t>
      </w:r>
      <w:r>
        <w:rPr>
          <w:rFonts w:hint="eastAsia" w:ascii="宋体" w:hAnsi="宋体"/>
          <w:bCs/>
          <w:color w:val="auto"/>
          <w:sz w:val="24"/>
          <w:szCs w:val="24"/>
          <w:highlight w:val="none"/>
          <w:u w:val="single"/>
          <w:lang w:val="en-US" w:eastAsia="zh-CN"/>
        </w:rPr>
        <w:t xml:space="preserve">00</w:t>
      </w:r>
      <w:r>
        <w:rPr>
          <w:rFonts w:hint="eastAsia" w:ascii="宋体" w:hAnsi="宋体"/>
          <w:bCs/>
          <w:color w:val="auto"/>
          <w:sz w:val="24"/>
          <w:szCs w:val="24"/>
          <w:highlight w:val="none"/>
          <w:u w:val="single"/>
        </w:rPr>
        <w:t xml:space="preserve">分（</w:t>
      </w:r>
      <w:r>
        <w:rPr>
          <w:rFonts w:hint="eastAsia" w:ascii="宋体" w:hAnsi="宋体"/>
          <w:bCs/>
          <w:color w:val="auto"/>
          <w:sz w:val="24"/>
          <w:szCs w:val="24"/>
          <w:highlight w:val="none"/>
        </w:rPr>
        <w:t xml:space="preserve">北京时间）前递交响应文件</w:t>
      </w:r>
      <w:r>
        <w:rPr>
          <w:rFonts w:hint="eastAsia" w:ascii="宋体" w:hAnsi="宋体"/>
          <w:color w:val="auto"/>
          <w:sz w:val="24"/>
          <w:szCs w:val="24"/>
          <w:highlight w:val="none"/>
        </w:rPr>
        <w:t xml:space="preserve">。</w:t>
      </w:r>
      <w:r/>
    </w:p>
    <w:p>
      <w:pPr>
        <w:ind w:firstLine="498"/>
        <w:keepLines/>
        <w:keepNext/>
        <w:spacing w:before="156" w:after="156" w:line="360" w:lineRule="auto"/>
        <w:rPr>
          <w:rFonts w:ascii="Times New Roman" w:hAnsi="Times New Roman"/>
          <w:b/>
          <w:bCs/>
          <w:color w:val="auto"/>
          <w:sz w:val="32"/>
          <w:szCs w:val="32"/>
          <w:highlight w:val="none"/>
        </w:rPr>
        <w:outlineLvl w:val="2"/>
      </w:pPr>
      <w:r/>
      <w:bookmarkStart w:id="6" w:name="_Toc35393790"/>
      <w:r/>
      <w:bookmarkStart w:id="7" w:name="_Toc35393621"/>
      <w:r/>
      <w:bookmarkStart w:id="8" w:name="_Toc28359002"/>
      <w:r/>
      <w:bookmarkStart w:id="9" w:name="_Toc38985263"/>
      <w:r/>
      <w:bookmarkStart w:id="10" w:name="_Toc28359079"/>
      <w:r/>
      <w:bookmarkStart w:id="11" w:name="_Hlk24379207"/>
      <w:r>
        <w:rPr>
          <w:rFonts w:hint="eastAsia" w:ascii="Times New Roman" w:hAnsi="Times New Roman"/>
          <w:b/>
          <w:bCs/>
          <w:color w:val="auto"/>
          <w:sz w:val="32"/>
          <w:szCs w:val="32"/>
          <w:highlight w:val="none"/>
        </w:rPr>
        <w:t xml:space="preserve">一、项目基本情况</w:t>
      </w:r>
      <w:bookmarkEnd w:id="6"/>
      <w:r/>
      <w:bookmarkEnd w:id="7"/>
      <w:r/>
      <w:bookmarkEnd w:id="8"/>
      <w:r/>
      <w:bookmarkEnd w:id="9"/>
      <w:r/>
      <w:bookmarkEnd w:id="10"/>
      <w:r/>
      <w:bookmarkEnd w:id="11"/>
      <w:r/>
      <w:r/>
    </w:p>
    <w:p>
      <w:pPr>
        <w:ind w:firstLine="480"/>
        <w:spacing w:line="360" w:lineRule="auto"/>
        <w:rPr>
          <w:rFonts w:hint="eastAsia" w:ascii="宋体" w:hAnsi="宋体"/>
          <w:color w:val="auto"/>
          <w:sz w:val="24"/>
          <w:szCs w:val="24"/>
          <w:highlight w:val="none"/>
        </w:rPr>
      </w:pPr>
      <w:r/>
      <w:bookmarkStart w:id="12" w:name="_Hlk182338802"/>
      <w:r/>
      <w:bookmarkStart w:id="13" w:name="_Hlk159079805"/>
      <w:r/>
      <w:bookmarkStart w:id="14" w:name="_Toc38985264"/>
      <w:r/>
      <w:bookmarkStart w:id="15" w:name="_Toc28359080"/>
      <w:r/>
      <w:bookmarkStart w:id="16" w:name="_Toc35393622"/>
      <w:r/>
      <w:bookmarkStart w:id="17" w:name="_Toc35393791"/>
      <w:r/>
      <w:bookmarkStart w:id="18" w:name="_Toc28359003"/>
      <w:r>
        <w:rPr>
          <w:rFonts w:hint="eastAsia" w:ascii="宋体" w:hAnsi="宋体"/>
          <w:color w:val="auto"/>
          <w:sz w:val="24"/>
          <w:szCs w:val="24"/>
          <w:highlight w:val="none"/>
        </w:rPr>
        <w:t xml:space="preserve">1.项目编号：JSZC-320612-NTJR-C2025-0065</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  </w:t>
      </w:r>
      <w:r/>
    </w:p>
    <w:p>
      <w:pPr>
        <w:ind w:firstLine="480"/>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lang w:eastAsia="zh-CN"/>
        </w:rPr>
        <w:t xml:space="preserve">先锋街道危桥改造工程（第二次）</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3.采购方式：竞争性磋商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4.预算金额：本项目采购预算价</w:t>
      </w:r>
      <w:r>
        <w:rPr>
          <w:rFonts w:hint="eastAsia" w:ascii="宋体" w:hAnsi="宋体"/>
          <w:color w:val="auto"/>
          <w:sz w:val="24"/>
          <w:szCs w:val="24"/>
          <w:highlight w:val="none"/>
          <w:lang w:val="en-US" w:eastAsia="zh-CN"/>
        </w:rPr>
        <w:t xml:space="preserve">83.570195万元</w:t>
      </w:r>
      <w:r>
        <w:rPr>
          <w:rFonts w:hint="eastAsia" w:ascii="宋体" w:hAnsi="宋体"/>
          <w:color w:val="auto"/>
          <w:sz w:val="24"/>
          <w:szCs w:val="24"/>
          <w:highlight w:val="none"/>
        </w:rPr>
        <w:t xml:space="preserve">，资金来源</w:t>
      </w:r>
      <w:bookmarkStart w:id="19" w:name="_Hlk171534920"/>
      <w:r/>
      <w:bookmarkStart w:id="20" w:name="_Hlk171534749"/>
      <w:r>
        <w:rPr>
          <w:rFonts w:hint="eastAsia" w:ascii="宋体" w:hAnsi="宋体"/>
          <w:color w:val="auto"/>
          <w:sz w:val="24"/>
          <w:szCs w:val="24"/>
          <w:highlight w:val="none"/>
        </w:rPr>
        <w:t xml:space="preserve">财政资金</w:t>
      </w:r>
      <w:bookmarkEnd w:id="19"/>
      <w:r>
        <w:rPr>
          <w:rFonts w:hint="eastAsia" w:ascii="宋体" w:hAnsi="宋体"/>
          <w:color w:val="auto"/>
          <w:sz w:val="24"/>
          <w:szCs w:val="24"/>
          <w:highlight w:val="none"/>
        </w:rPr>
        <w:t xml:space="preserve">。</w:t>
      </w:r>
      <w:bookmarkEnd w:id="20"/>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5.最高限价：</w:t>
      </w:r>
      <w:bookmarkStart w:id="21" w:name="_Hlk171534768"/>
      <w:r>
        <w:rPr>
          <w:rFonts w:hint="eastAsia" w:ascii="宋体" w:hAnsi="宋体"/>
          <w:color w:val="auto"/>
          <w:sz w:val="24"/>
          <w:szCs w:val="24"/>
          <w:highlight w:val="none"/>
        </w:rPr>
        <w:t xml:space="preserve">793916.8元</w:t>
      </w:r>
      <w:bookmarkEnd w:id="21"/>
      <w:r>
        <w:rPr>
          <w:rFonts w:hint="eastAsia" w:ascii="宋体" w:hAnsi="宋体"/>
          <w:color w:val="auto"/>
          <w:sz w:val="24"/>
          <w:szCs w:val="24"/>
          <w:highlight w:val="none"/>
        </w:rPr>
        <w:t xml:space="preserve">，最终报价超过采购最高限价的为无效响应文件。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w:t>
      </w:r>
      <w:r>
        <w:rPr>
          <w:rFonts w:ascii="宋体" w:hAnsi="宋体"/>
          <w:color w:val="auto"/>
          <w:sz w:val="24"/>
          <w:szCs w:val="24"/>
          <w:highlight w:val="none"/>
        </w:rPr>
        <w:t xml:space="preserve">项目类型：</w:t>
      </w:r>
      <w:r>
        <w:rPr>
          <w:rFonts w:hint="eastAsia" w:ascii="宋体" w:hAnsi="宋体"/>
          <w:color w:val="auto"/>
          <w:sz w:val="24"/>
          <w:szCs w:val="24"/>
          <w:highlight w:val="none"/>
        </w:rPr>
        <w:t xml:space="preserve">工程</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7.</w:t>
      </w:r>
      <w:r>
        <w:rPr>
          <w:rFonts w:ascii="宋体" w:hAnsi="宋体"/>
          <w:color w:val="auto"/>
          <w:sz w:val="24"/>
          <w:szCs w:val="24"/>
          <w:highlight w:val="none"/>
        </w:rPr>
        <w:t xml:space="preserve">所属行业：</w:t>
      </w:r>
      <w:r>
        <w:rPr>
          <w:rFonts w:hint="eastAsia" w:ascii="宋体" w:hAnsi="宋体"/>
          <w:color w:val="auto"/>
          <w:sz w:val="24"/>
          <w:szCs w:val="24"/>
          <w:highlight w:val="none"/>
        </w:rPr>
        <w:t xml:space="preserve">建筑业</w:t>
      </w:r>
      <w:r>
        <w:rPr>
          <w:rFonts w:ascii="宋体" w:hAnsi="宋体"/>
          <w:color w:val="auto"/>
          <w:sz w:val="24"/>
          <w:szCs w:val="24"/>
          <w:highlight w:val="none"/>
        </w:rPr>
        <w:t xml:space="preserve"> </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8.采购需求：该工程位于南通市通州区，主要内容为危桥改造等。具体详见工程量清单及图纸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一旦</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，不得提出额外要求。</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9.工期：</w:t>
      </w:r>
      <w:r>
        <w:rPr>
          <w:rFonts w:hint="eastAsia" w:ascii="宋体" w:hAnsi="宋体"/>
          <w:color w:val="auto"/>
          <w:sz w:val="24"/>
          <w:szCs w:val="24"/>
          <w:highlight w:val="none"/>
          <w:lang w:val="en-US" w:eastAsia="zh-CN"/>
        </w:rPr>
        <w:t xml:space="preserve">60</w:t>
      </w:r>
      <w:r>
        <w:rPr>
          <w:rFonts w:hint="eastAsia" w:ascii="宋体" w:hAnsi="宋体"/>
          <w:color w:val="auto"/>
          <w:sz w:val="24"/>
          <w:szCs w:val="24"/>
          <w:highlight w:val="none"/>
        </w:rPr>
        <w:t xml:space="preserve">日历天。</w:t>
      </w:r>
      <w:r/>
    </w:p>
    <w:p>
      <w:pPr>
        <w:ind w:firstLine="480"/>
        <w:spacing w:line="360" w:lineRule="auto"/>
        <w:rPr>
          <w:rFonts w:hint="eastAsia" w:cs="宋体" w:asciiTheme="minorEastAsia" w:hAnsiTheme="minorEastAsia" w:eastAsiaTheme="minorEastAsia"/>
          <w:color w:val="auto"/>
          <w:sz w:val="24"/>
          <w:szCs w:val="24"/>
          <w:highlight w:val="none"/>
        </w:rPr>
      </w:pPr>
      <w:r>
        <w:rPr>
          <w:rFonts w:hint="eastAsia" w:ascii="宋体" w:hAnsi="宋体"/>
          <w:color w:val="auto"/>
          <w:sz w:val="24"/>
          <w:szCs w:val="24"/>
          <w:highlight w:val="none"/>
        </w:rPr>
        <w:t xml:space="preserve">10.质量要求：合格</w:t>
      </w:r>
      <w:bookmarkEnd w:id="12"/>
      <w:r>
        <w:rPr>
          <w:rFonts w:hint="eastAsia" w:cs="宋体" w:asciiTheme="minorEastAsia" w:hAnsiTheme="minorEastAsia" w:eastAsiaTheme="minorEastAsia"/>
          <w:color w:val="auto"/>
          <w:sz w:val="24"/>
          <w:szCs w:val="24"/>
          <w:highlight w:val="none"/>
        </w:rPr>
        <w:t xml:space="preserve">，</w:t>
      </w:r>
      <w:r>
        <w:rPr>
          <w:rFonts w:hint="eastAsia" w:ascii="宋体" w:hAnsi="宋体" w:cs="宋体"/>
          <w:color w:val="auto"/>
          <w:sz w:val="24"/>
          <w:szCs w:val="24"/>
          <w:highlight w:val="none"/>
        </w:rPr>
        <w:t xml:space="preserve">保修期两年。</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11.本项目不接受分包。</w:t>
      </w:r>
      <w:bookmarkEnd w:id="13"/>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二、申请人的资格要求：</w:t>
      </w:r>
      <w:bookmarkEnd w:id="14"/>
      <w:r/>
      <w:bookmarkEnd w:id="15"/>
      <w:r/>
      <w:bookmarkEnd w:id="16"/>
      <w:r/>
      <w:bookmarkEnd w:id="17"/>
      <w:r/>
      <w:bookmarkEnd w:id="18"/>
      <w:r/>
      <w:r/>
    </w:p>
    <w:p>
      <w:pPr>
        <w:ind w:firstLine="480"/>
        <w:spacing w:line="360" w:lineRule="auto"/>
        <w:rPr>
          <w:rFonts w:hint="eastAsia" w:ascii="宋体" w:hAnsi="宋体"/>
          <w:color w:val="auto"/>
          <w:sz w:val="24"/>
          <w:szCs w:val="24"/>
          <w:highlight w:val="none"/>
        </w:rPr>
      </w:pPr>
      <w:r/>
      <w:bookmarkStart w:id="22" w:name="_Toc35393792"/>
      <w:r/>
      <w:bookmarkStart w:id="23" w:name="_Toc28359004"/>
      <w:r/>
      <w:bookmarkStart w:id="24" w:name="_Toc35393623"/>
      <w:r/>
      <w:bookmarkStart w:id="25" w:name="_Toc38985265"/>
      <w:r/>
      <w:bookmarkStart w:id="26" w:name="_Toc28359081"/>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1.满足《中华人民共和国政府采购法》第二十二条规定，并提供下列材料：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1.1法人或者其他组织的营业执照等证明文件，自然人的身份证明；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1.2</w:t>
      </w:r>
      <w:r>
        <w:rPr>
          <w:rFonts w:hint="eastAsia" w:ascii="宋体" w:hAnsi="宋体"/>
          <w:color w:val="auto"/>
          <w:sz w:val="24"/>
          <w:szCs w:val="24"/>
          <w:highlight w:val="none"/>
          <w:lang w:val="en-US" w:eastAsia="zh-CN"/>
        </w:rPr>
        <w:t xml:space="preserve"> 提供2024年度</w:t>
      </w:r>
      <w:r>
        <w:rPr>
          <w:rFonts w:hint="eastAsia" w:ascii="宋体" w:hAnsi="宋体"/>
          <w:color w:val="auto"/>
          <w:sz w:val="24"/>
          <w:szCs w:val="24"/>
          <w:highlight w:val="none"/>
        </w:rPr>
        <w:t xml:space="preserve">的财务状况报告或投标截止时间前三个月（不含投标截止时间当月）中至少一个月</w:t>
      </w:r>
      <w:r>
        <w:rPr>
          <w:rFonts w:hint="eastAsia" w:ascii="宋体" w:hAnsi="宋体"/>
          <w:color w:val="auto"/>
          <w:sz w:val="24"/>
          <w:szCs w:val="24"/>
          <w:highlight w:val="none"/>
          <w:lang w:eastAsia="zh-CN"/>
        </w:rPr>
        <w:t xml:space="preserve">的银行</w:t>
      </w:r>
      <w:r>
        <w:rPr>
          <w:rFonts w:hint="eastAsia" w:ascii="宋体" w:hAnsi="宋体"/>
          <w:color w:val="auto"/>
          <w:sz w:val="24"/>
          <w:szCs w:val="24"/>
          <w:highlight w:val="none"/>
        </w:rPr>
        <w:t xml:space="preserve">资信证明；（成立不满一年无需提供）；</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1.3依法缴纳税收和社会保障资金的相关材料（提供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1.4具备履行合同所必需的设备和专业技术能力的书面声明；</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1.5参加政府采购活动前3年内在经营活动中没有重大违法记录的书面声明。</w:t>
      </w:r>
      <w:r/>
    </w:p>
    <w:p>
      <w:pPr>
        <w:ind w:firstLine="480"/>
        <w:spacing w:line="360" w:lineRule="auto"/>
        <w:rPr>
          <w:rFonts w:hint="eastAsia" w:ascii="华文新魏" w:hAnsi="宋体" w:eastAsia="华文新魏"/>
          <w:color w:val="auto"/>
          <w:sz w:val="36"/>
          <w:szCs w:val="36"/>
          <w:highlight w:val="none"/>
        </w:rPr>
      </w:pPr>
      <w:r>
        <w:rPr>
          <w:rFonts w:hint="eastAsia" w:ascii="宋体" w:hAnsi="宋体"/>
          <w:color w:val="auto"/>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3.落实政府采购政策需满足的资格要求：本项目专门面向中小企业采购</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（1）按照财政部、工业和信息化部关于印发《政府采购促进中小企业发展管理办法》的通知（财库〔2020〕46号）的规定，落实促进中小企业发展政策。</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（2）按照《财政部、司法部关于政府采购支持监狱企业发展有关问题的通知》（财库〔2014〕68号）的规定，落实支持监狱企业发展政策。</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（3）按照《三部门联合发布关于促进残疾人就业政府采购政策的通知》（财库〔2017〕141号）的规定，落实支持残疾人福利性单位发展政策。</w:t>
      </w:r>
      <w:r/>
    </w:p>
    <w:p>
      <w:pPr>
        <w:ind w:firstLine="480"/>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4.本项目</w:t>
      </w:r>
      <w:r>
        <w:rPr>
          <w:rFonts w:hint="eastAsia" w:ascii="宋体" w:hAnsi="宋体"/>
          <w:color w:val="auto"/>
          <w:sz w:val="24"/>
          <w:szCs w:val="24"/>
          <w:highlight w:val="none"/>
          <w:u w:val="single"/>
        </w:rPr>
        <w:t xml:space="preserve">  不接受  </w:t>
      </w:r>
      <w:r>
        <w:rPr>
          <w:rFonts w:hint="eastAsia" w:ascii="宋体" w:hAnsi="宋体"/>
          <w:color w:val="auto"/>
          <w:sz w:val="24"/>
          <w:szCs w:val="24"/>
          <w:highlight w:val="none"/>
        </w:rPr>
        <w:t xml:space="preserve">联合体参与磋商（接受/不接受）。</w:t>
      </w:r>
      <w:r/>
    </w:p>
    <w:p>
      <w:pPr>
        <w:ind w:firstLine="480"/>
        <w:spacing w:line="360" w:lineRule="auto"/>
        <w:rPr>
          <w:rFonts w:ascii="宋体" w:hAnsi="宋体"/>
          <w:color w:val="auto"/>
          <w:sz w:val="24"/>
          <w:szCs w:val="24"/>
          <w:highlight w:val="none"/>
        </w:rPr>
      </w:pPr>
      <w:r/>
      <w:bookmarkStart w:id="27" w:name="_Hlk182341156"/>
      <w:r>
        <w:rPr>
          <w:rFonts w:hint="eastAsia" w:ascii="宋体" w:hAnsi="宋体"/>
          <w:color w:val="auto"/>
          <w:sz w:val="24"/>
          <w:szCs w:val="24"/>
          <w:highlight w:val="none"/>
        </w:rPr>
        <w:t xml:space="preserve">（二）本项目的特定资格要求</w:t>
      </w:r>
      <w:r/>
    </w:p>
    <w:p>
      <w:pPr>
        <w:contextualSpacing/>
        <w:ind w:firstLine="480"/>
        <w:spacing w:line="360" w:lineRule="auto"/>
        <w:rPr>
          <w:rFonts w:hint="eastAsia" w:ascii="宋体" w:hAnsi="宋体" w:cs="宋体"/>
          <w:color w:val="auto"/>
          <w:sz w:val="24"/>
          <w:szCs w:val="24"/>
          <w:highlight w:val="none"/>
        </w:rPr>
      </w:pPr>
      <w:r/>
      <w:bookmarkStart w:id="28" w:name="_Hlk181823161"/>
      <w:r>
        <w:rPr>
          <w:rFonts w:hint="eastAsia" w:ascii="宋体" w:hAnsi="宋体" w:cs="宋体"/>
          <w:color w:val="auto"/>
          <w:sz w:val="24"/>
          <w:szCs w:val="24"/>
          <w:highlight w:val="none"/>
        </w:rPr>
        <w:t xml:space="preserve">（1）供应商具备</w:t>
      </w:r>
      <w:r>
        <w:rPr>
          <w:rFonts w:hint="eastAsia" w:ascii="宋体" w:hAnsi="宋体"/>
          <w:b/>
          <w:bCs/>
          <w:color w:val="auto"/>
          <w:sz w:val="24"/>
          <w:highlight w:val="none"/>
          <w:u w:val="single"/>
        </w:rPr>
        <w:t xml:space="preserve">市政公用工程施工总承包叁级及以上资质</w:t>
      </w:r>
      <w:r>
        <w:rPr>
          <w:rFonts w:hint="eastAsia" w:ascii="宋体" w:hAnsi="宋体" w:cs="宋体"/>
          <w:b/>
          <w:bCs/>
          <w:color w:val="auto"/>
          <w:sz w:val="24"/>
          <w:szCs w:val="24"/>
          <w:highlight w:val="none"/>
          <w:u w:val="single"/>
        </w:rPr>
        <w:t xml:space="preserve">，</w:t>
      </w:r>
      <w:r>
        <w:rPr>
          <w:rFonts w:hint="eastAsia" w:ascii="宋体" w:hAnsi="宋体" w:cs="宋体"/>
          <w:color w:val="auto"/>
          <w:sz w:val="24"/>
          <w:szCs w:val="24"/>
          <w:highlight w:val="none"/>
        </w:rPr>
        <w:t xml:space="preserve">具有省级建设行政主管部门颁发的安全生产许可证，并在人员、设备、资金等方面具有相应的施工能力。</w:t>
      </w:r>
      <w:r/>
    </w:p>
    <w:p>
      <w:pPr>
        <w:contextualSpacing/>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（2）供应商拟派项目负责人须具备</w:t>
      </w:r>
      <w:r>
        <w:rPr>
          <w:rFonts w:hint="eastAsia" w:ascii="宋体" w:hAnsi="宋体" w:cs="宋体"/>
          <w:b/>
          <w:color w:val="auto"/>
          <w:sz w:val="24"/>
          <w:szCs w:val="24"/>
          <w:highlight w:val="none"/>
          <w:u w:val="single"/>
        </w:rPr>
        <w:t xml:space="preserve">市政公用工程专业贰级及以上注册建造师执业资格并持有项目经理安全B证</w:t>
      </w:r>
      <w:r>
        <w:rPr>
          <w:rFonts w:hint="eastAsia" w:ascii="宋体" w:hAnsi="宋体" w:cs="宋体"/>
          <w:color w:val="auto"/>
          <w:sz w:val="24"/>
          <w:szCs w:val="24"/>
          <w:highlight w:val="none"/>
        </w:rPr>
        <w:t xml:space="preserve">，须是投标申请人本单位在册人员，且拟派项目负责人无在建工程。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根据《住房和城乡建设部办公厅关于全面实行一级建造师电子注册证书的通知》(建办市〔2021〕40号)的规定，自2022年1月1日起，一级建造师统一使用电子证书，纸质注册证书作废。若投标人拟派项目</w:t>
      </w:r>
      <w:bookmarkEnd w:id="27"/>
      <w:r>
        <w:rPr>
          <w:rFonts w:hint="eastAsia" w:ascii="宋体" w:hAnsi="宋体" w:cs="宋体"/>
          <w:color w:val="auto"/>
          <w:sz w:val="24"/>
          <w:szCs w:val="24"/>
          <w:highlight w:val="none"/>
        </w:rPr>
        <w:t xml:space="preserve">负责人为一级建造师的，则须提供符合建办市(2021)40号文件要求的电子注册证书，并应在个人签名处手写本人签名，未提供电子证书或未手写签名或手写签名与签名图像笔迹不一致的,该电子证书无效,视为项目负责人的资格不符合要求。</w:t>
      </w:r>
      <w:bookmarkEnd w:id="28"/>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2023〕第26号文件要求执行。其他省份按照各自省份规定执行。</w:t>
      </w:r>
      <w:r/>
    </w:p>
    <w:p>
      <w:pPr>
        <w:contextualSpacing/>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拟派项目负责人安全生产考核证书必须根据《省住房和城乡建设厅关于部分调整我省建筑施工企业安管人员、建筑施工特种作业人员考核、延期复核及证书管理有关事项的公告》〔2023〕第5号文件要求执行。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如未按上述文件要求提供电子证书的，该电子证书无效，视为项目负责人的资格不符合招标文件要求。</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（3）拟派项目负责人必须满足下列条件：</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3.1拟派项目负责人为供应商的正式员工。须提供响应供应商与拟派项目负责人双方签订的有效期内的劳动合同。</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3.3项目负责人无行贿犯罪行为记录；或者有行贿犯罪行为记录，但自记录之日起已超过5年的。</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（4）响应供应商及拟派项目负责人应具备其他要求：</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企业和拟派项目负责人近2年内（自提交首次响应文件截止之日起往前推算）没有因串通投标、弄虚作假、以他人名义投标、骗取中标、转包、违法分包等违法行为受到司法、行政、监察等有关处罚或认定的；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企业近1年内（自提交首次响应文件截止之日起往前推算）没有无正当理由放弃中标（成交）资格（不含项目负责人多投多中后放弃）、不与采购人订立合同、拒不提供履约担保情形的；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企业近三个月内（自提交首次响应文件截止之日起往前推算）没有因拖欠工人工资被采购项目所在地省、市、县（市、区）建设行政主管部门通报批评的；</w:t>
      </w:r>
      <w:r/>
    </w:p>
    <w:p>
      <w:pPr>
        <w:contextualSpacing/>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R</w:t>
      </w:r>
      <w:r>
        <w:rPr>
          <w:rFonts w:hint="eastAsia" w:ascii="宋体" w:hAnsi="宋体"/>
          <w:color w:val="auto"/>
          <w:sz w:val="24"/>
          <w:szCs w:val="24"/>
          <w:highlight w:val="none"/>
        </w:rPr>
        <w:t xml:space="preserve">响应供应商或者拟派项目负责人近五年内（自提交首次响应文件截止之日起往前推算）在采购人之前的工程中没有履约评价不合格的。</w:t>
      </w:r>
      <w:r/>
    </w:p>
    <w:p>
      <w:pPr>
        <w:contextualSpacing/>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本条款中“近2年”是指从本项目响应文件提交截止时间往前推算2年，例如：若项目响应文件提交截止时间是202</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月10日，则“近2年”是指从202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 </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 月11日（含）以来的2年内，依此类推。前款所称“近1年”、“近三个月”、“近五年”的定义与上同。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响应供应商未被“信用中国”网站、中国政府采购网和国家企业信用信息公示系统列入失信被执行人、重大税收违法案件当事人名单、政府采购严重违法失信行为记录名单、经营异常名录和严重违法失信企业名单、拖欠农民工工资失信联合惩戒对象名单、安全生产严重失信主体名单。（响应文件中无需提供证明材料）</w:t>
      </w:r>
      <w:r/>
    </w:p>
    <w:p>
      <w:pPr>
        <w:ind w:firstLine="480"/>
        <w:spacing w:line="360" w:lineRule="auto"/>
        <w:rPr>
          <w:rFonts w:hint="eastAsia" w:ascii="宋体" w:hAnsi="宋体" w:cs="宋体"/>
          <w:color w:val="auto"/>
          <w:sz w:val="24"/>
          <w:szCs w:val="24"/>
          <w:highlight w:val="none"/>
        </w:rPr>
      </w:pPr>
      <w:r>
        <w:rPr>
          <w:rFonts w:hint="eastAsia" w:ascii="宋体" w:hAnsi="宋体"/>
          <w:color w:val="auto"/>
          <w:sz w:val="24"/>
          <w:szCs w:val="24"/>
          <w:highlight w:val="none"/>
        </w:rPr>
        <w:t xml:space="preserve">（6）符合法律、法规规定的其他条件。</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三、获取</w:t>
      </w:r>
      <w:bookmarkEnd w:id="22"/>
      <w:r/>
      <w:bookmarkEnd w:id="23"/>
      <w:r/>
      <w:bookmarkEnd w:id="24"/>
      <w:r/>
      <w:bookmarkEnd w:id="25"/>
      <w:r/>
      <w:bookmarkEnd w:id="26"/>
      <w:r>
        <w:rPr>
          <w:rFonts w:hint="eastAsia" w:ascii="Times New Roman" w:hAnsi="Times New Roman"/>
          <w:b/>
          <w:bCs/>
          <w:color w:val="auto"/>
          <w:sz w:val="32"/>
          <w:szCs w:val="32"/>
          <w:highlight w:val="none"/>
        </w:rPr>
        <w:t xml:space="preserve">磋商文件</w:t>
      </w:r>
      <w:r/>
    </w:p>
    <w:p>
      <w:pPr>
        <w:ind w:firstLine="540"/>
        <w:spacing w:line="360" w:lineRule="auto"/>
        <w:rPr>
          <w:rFonts w:ascii="宋体" w:hAnsi="宋体" w:cs="宋体"/>
          <w:b/>
          <w:color w:val="auto"/>
          <w:sz w:val="24"/>
          <w:szCs w:val="24"/>
          <w:highlight w:val="none"/>
        </w:rPr>
      </w:pPr>
      <w:r/>
      <w:bookmarkStart w:id="29" w:name="_Toc28359082"/>
      <w:r/>
      <w:bookmarkStart w:id="30" w:name="_Toc28359005"/>
      <w:r/>
      <w:bookmarkStart w:id="31" w:name="_Toc35393624"/>
      <w:r/>
      <w:bookmarkStart w:id="32" w:name="_Toc38985266"/>
      <w:r/>
      <w:bookmarkStart w:id="33" w:name="_Toc35393793"/>
      <w:r>
        <w:rPr>
          <w:rFonts w:hint="eastAsia" w:ascii="宋体" w:hAnsi="宋体" w:cs="宋体"/>
          <w:color w:val="auto"/>
          <w:sz w:val="24"/>
          <w:szCs w:val="24"/>
          <w:highlight w:val="none"/>
        </w:rPr>
        <w:t xml:space="preserve">1.时间：自磋商文件公告发布之日起5个工作日。</w:t>
      </w:r>
      <w:r/>
    </w:p>
    <w:p>
      <w:pPr>
        <w:ind w:firstLine="540"/>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2.方式：在“江苏政府采购网”自行免费下载磋商文件。</w:t>
      </w:r>
      <w:r/>
    </w:p>
    <w:p>
      <w:pPr>
        <w:ind w:firstLine="5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2.1潜在供应商访问电子招标响应交易平台的网络地址和方法：</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苏采云）供应商操作手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2.2潜在供应商访问“苏采云”系统的网络地址和方法：“苏采云”系统的网址：http://jszfcg.jsczt.cn/。</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2.3“CA数字证书”的获取：</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供应商需办理CA锁，“苏采云”系统目前仅支持国信CA，省内各地区办理的用于“苏采云”平台的国信CA全省通用。南通地区“CA数字证书”的办理：南通市政务中心四楼，电话：18951314963。</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2.4采购文件（后缀名为“.kedt”）、供应商操作手册及政府采购客户端工具可通过“苏采云”系统--已报名项目--报名详情页面内相应链接进行下载。</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2.5采购人或采购代理机构将数据电文形式的采购文件加载至“苏采云”系统，供潜在供应商下载或者查阅。</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四、提交</w:t>
      </w:r>
      <w:bookmarkEnd w:id="29"/>
      <w:r/>
      <w:bookmarkEnd w:id="30"/>
      <w:r>
        <w:rPr>
          <w:rFonts w:hint="eastAsia" w:ascii="Times New Roman" w:hAnsi="Times New Roman"/>
          <w:b/>
          <w:bCs/>
          <w:color w:val="auto"/>
          <w:sz w:val="32"/>
          <w:szCs w:val="32"/>
          <w:highlight w:val="none"/>
        </w:rPr>
        <w:t xml:space="preserve">响应文件截止时间</w:t>
      </w:r>
      <w:bookmarkEnd w:id="31"/>
      <w:r/>
      <w:bookmarkEnd w:id="32"/>
      <w:r/>
      <w:bookmarkEnd w:id="33"/>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1.202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年</w:t>
      </w:r>
      <w:r>
        <w:rPr>
          <w:rFonts w:hint="eastAsia" w:ascii="宋体" w:hAnsi="宋体"/>
          <w:bCs/>
          <w:color w:val="auto"/>
          <w:sz w:val="24"/>
          <w:szCs w:val="24"/>
          <w:highlight w:val="none"/>
          <w:lang w:val="en-US" w:eastAsia="zh-CN"/>
        </w:rPr>
        <w:t xml:space="preserve">12</w:t>
      </w:r>
      <w:r>
        <w:rPr>
          <w:rFonts w:hint="eastAsia" w:ascii="宋体" w:hAnsi="宋体"/>
          <w:bCs/>
          <w:color w:val="auto"/>
          <w:sz w:val="24"/>
          <w:szCs w:val="24"/>
          <w:highlight w:val="none"/>
        </w:rPr>
        <w:t xml:space="preserve">月</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日</w:t>
      </w:r>
      <w:r>
        <w:rPr>
          <w:rFonts w:hint="eastAsia" w:ascii="宋体" w:hAnsi="宋体"/>
          <w:bCs/>
          <w:color w:val="auto"/>
          <w:sz w:val="24"/>
          <w:szCs w:val="24"/>
          <w:highlight w:val="none"/>
          <w:lang w:val="en-US" w:eastAsia="zh-CN"/>
        </w:rPr>
        <w:t xml:space="preserve">14</w:t>
      </w:r>
      <w:bookmarkStart w:id="867" w:name="_GoBack"/>
      <w:r/>
      <w:bookmarkEnd w:id="867"/>
      <w:r>
        <w:rPr>
          <w:rFonts w:hint="eastAsia" w:ascii="宋体" w:hAnsi="宋体"/>
          <w:bCs/>
          <w:color w:val="auto"/>
          <w:sz w:val="24"/>
          <w:szCs w:val="24"/>
          <w:highlight w:val="none"/>
        </w:rPr>
        <w:t xml:space="preserve">点00分（北京时间）。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注：各供应商请关注开标大厅交流区，在开标结束后，请勿离开开标大厅。资格评审、符合性审查</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技术标评审</w:t>
      </w:r>
      <w:r>
        <w:rPr>
          <w:rFonts w:hint="eastAsia" w:ascii="宋体" w:hAnsi="宋体"/>
          <w:bCs/>
          <w:color w:val="auto"/>
          <w:sz w:val="24"/>
          <w:szCs w:val="24"/>
          <w:highlight w:val="none"/>
        </w:rPr>
        <w:t xml:space="preserve">结束后，供应商就所有内容进行最后报价，少报无效。最后报价将作为评审价。系统发送最后报价填报通知后，所有的响应供应商须在系统规定时间内填写并提交最后报价，未在规定时间内提交最后报价的，视作无效响应处理。</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2.线上开标地点：“苏采云”系统（网址：http://jszfcg.jsczt.cn/）“开标大厅”。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3.响应文件的解密：开标当天各供应商及</w:t>
      </w:r>
      <w:r>
        <w:rPr>
          <w:rFonts w:hint="eastAsia" w:ascii="宋体" w:hAnsi="宋体"/>
          <w:bCs/>
          <w:color w:val="auto"/>
          <w:sz w:val="24"/>
          <w:szCs w:val="24"/>
          <w:highlight w:val="none"/>
        </w:rPr>
        <w:t xml:space="preserve">时登录不见面开标大厅，响应文件递交截止时间后，投标供应商通过开标会议区发出响应文件解密的指令，投标供应商在苏彩云系统按规定时间自行实施远程解密。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98"/>
        <w:keepLines/>
        <w:keepNext/>
        <w:spacing w:before="156" w:after="156" w:line="360" w:lineRule="auto"/>
        <w:rPr>
          <w:rFonts w:ascii="Times New Roman" w:hAnsi="Times New Roman"/>
          <w:b/>
          <w:bCs/>
          <w:color w:val="auto"/>
          <w:sz w:val="32"/>
          <w:szCs w:val="32"/>
          <w:highlight w:val="none"/>
        </w:rPr>
        <w:outlineLvl w:val="2"/>
      </w:pPr>
      <w:r/>
      <w:bookmarkStart w:id="34" w:name="_Toc28359007"/>
      <w:r/>
      <w:bookmarkStart w:id="35" w:name="_Toc35393625"/>
      <w:r/>
      <w:bookmarkStart w:id="36" w:name="_Toc35393794"/>
      <w:r/>
      <w:bookmarkStart w:id="37" w:name="_Toc38985267"/>
      <w:r/>
      <w:bookmarkStart w:id="38" w:name="_Toc28359084"/>
      <w:r>
        <w:rPr>
          <w:rFonts w:hint="eastAsia" w:ascii="Times New Roman" w:hAnsi="Times New Roman"/>
          <w:b/>
          <w:bCs/>
          <w:color w:val="auto"/>
          <w:sz w:val="32"/>
          <w:szCs w:val="32"/>
          <w:highlight w:val="none"/>
        </w:rPr>
        <w:t xml:space="preserve">五、公告期限</w:t>
      </w:r>
      <w:bookmarkEnd w:id="34"/>
      <w:r/>
      <w:bookmarkEnd w:id="35"/>
      <w:r/>
      <w:bookmarkEnd w:id="36"/>
      <w:r/>
      <w:bookmarkEnd w:id="37"/>
      <w:r/>
      <w:bookmarkEnd w:id="38"/>
      <w:r/>
      <w:r/>
    </w:p>
    <w:p>
      <w:pPr>
        <w:ind w:firstLine="480"/>
        <w:spacing w:line="360" w:lineRule="auto"/>
        <w:rPr>
          <w:rFonts w:ascii="宋体" w:hAnsi="宋体" w:cs="宋体"/>
          <w:color w:val="auto"/>
          <w:sz w:val="24"/>
          <w:szCs w:val="24"/>
          <w:highlight w:val="none"/>
        </w:rPr>
      </w:pPr>
      <w:r/>
      <w:bookmarkStart w:id="39" w:name="_Toc38985268"/>
      <w:r/>
      <w:bookmarkStart w:id="40" w:name="_Toc35393795"/>
      <w:r/>
      <w:bookmarkStart w:id="41" w:name="_Toc35393626"/>
      <w:r>
        <w:rPr>
          <w:rFonts w:hint="eastAsia" w:ascii="宋体" w:hAnsi="宋体" w:cs="宋体"/>
          <w:color w:val="auto"/>
          <w:sz w:val="24"/>
          <w:szCs w:val="24"/>
          <w:highlight w:val="none"/>
        </w:rPr>
        <w:t xml:space="preserve">磋商公告及磋商文件公告期限为自本公告发布之日起5个工作日。</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六、其他补充事宜</w:t>
      </w:r>
      <w:bookmarkEnd w:id="39"/>
      <w:r/>
      <w:bookmarkEnd w:id="40"/>
      <w:r/>
      <w:bookmarkEnd w:id="41"/>
      <w:r/>
      <w:r/>
    </w:p>
    <w:p>
      <w:pPr>
        <w:ind w:firstLine="480"/>
        <w:spacing w:line="360" w:lineRule="auto"/>
        <w:rPr>
          <w:rFonts w:hint="eastAsia" w:ascii="宋体" w:hAnsi="宋体" w:cs="宋体"/>
          <w:color w:val="auto"/>
          <w:sz w:val="24"/>
          <w:szCs w:val="24"/>
          <w:highlight w:val="none"/>
        </w:rPr>
      </w:pPr>
      <w:r/>
      <w:bookmarkStart w:id="42" w:name="_Toc38985269"/>
      <w:r/>
      <w:bookmarkStart w:id="43" w:name="_Toc28359008"/>
      <w:r/>
      <w:bookmarkStart w:id="44" w:name="_Toc28359085"/>
      <w:r/>
      <w:bookmarkStart w:id="45" w:name="_Toc35393627"/>
      <w:r/>
      <w:bookmarkStart w:id="46" w:name="_Toc35393796"/>
      <w:r>
        <w:rPr>
          <w:rFonts w:hint="eastAsia" w:ascii="宋体" w:hAnsi="宋体" w:cs="宋体"/>
          <w:color w:val="auto"/>
          <w:sz w:val="24"/>
          <w:szCs w:val="24"/>
          <w:highlight w:val="none"/>
        </w:rPr>
        <w:t xml:space="preserve">1.磋商保证金：本项目不收磋商保证金，采购文件中涉及磋商保证金的事项，均按免收磋商保证金执行。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2.项目磋商活动模式：不见面远程磋商模式，供应商在各自地点通过不见面交易系统参加开标会。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对项目需求部分（供应商资格要求、项目需求、商务技术评分标准）的询问、质疑请向采购人提出，由采购人负责答复；对项目磋商文件其它部分的询问请向磋商文件制作人或项目磋商经办人提出；对在“电子交易平台”操作阶段的询问请向交易系统软件维护人员提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5.潜在供应商对竞争性磋商文件的询问、质疑请向采购人提出，由采购人负责答复。</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6.磋商响应文件制作份数要求：本项目为远程不见面电子标，成交供应商在公示结束后须提供叁份纸质版响应文件正本至采购人或招标代理处，纸质版响应文件须与电子文件一致，否则不予签订合同。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7.有关本次磋商采购的事项若存在变动或修改，敬请及时关注“江苏政府采购网”发布的更正公告。</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8.本次采购项目磋商结束后需提供最终报价。</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9.本项目属于非招标方式，不存在唱标环节。按照政府采购法律制度规定，在</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中任何一方不得透露与</w:t>
      </w:r>
      <w:r>
        <w:rPr>
          <w:rFonts w:hint="eastAsia" w:ascii="宋体" w:hAnsi="宋体" w:cs="宋体"/>
          <w:color w:val="auto"/>
          <w:sz w:val="24"/>
          <w:szCs w:val="24"/>
          <w:highlight w:val="none"/>
          <w:lang w:val="en-US" w:eastAsia="zh-CN"/>
        </w:rPr>
        <w:t xml:space="preserve">磋商</w:t>
      </w:r>
      <w:r>
        <w:rPr>
          <w:rFonts w:hint="eastAsia" w:ascii="宋体" w:hAnsi="宋体" w:cs="宋体"/>
          <w:color w:val="auto"/>
          <w:sz w:val="24"/>
          <w:szCs w:val="24"/>
          <w:highlight w:val="none"/>
        </w:rPr>
        <w:t xml:space="preserve">有关的其他供应商的技术资料、价格和其他信息，因此不公开唱标。最终成交供应商名称和成交金额可通过江苏省政府采购网站发布成交结果公告获得。</w:t>
      </w:r>
      <w:r/>
    </w:p>
    <w:p>
      <w:pPr>
        <w:ind w:firstLine="498"/>
        <w:keepLines/>
        <w:keepNext/>
        <w:spacing w:before="156" w:after="156" w:line="360" w:lineRule="auto"/>
        <w:rPr>
          <w:rFonts w:ascii="Times New Roman" w:hAnsi="Times New Roman"/>
          <w:b/>
          <w:bCs/>
          <w:color w:val="auto"/>
          <w:sz w:val="32"/>
          <w:szCs w:val="32"/>
          <w:highlight w:val="none"/>
        </w:rPr>
        <w:outlineLvl w:val="2"/>
      </w:pPr>
      <w:r>
        <w:rPr>
          <w:rFonts w:hint="eastAsia" w:ascii="Times New Roman" w:hAnsi="Times New Roman"/>
          <w:b/>
          <w:bCs/>
          <w:color w:val="auto"/>
          <w:sz w:val="32"/>
          <w:szCs w:val="32"/>
          <w:highlight w:val="none"/>
        </w:rPr>
        <w:t xml:space="preserve">七、本次磋商联系方式</w:t>
      </w:r>
      <w:bookmarkEnd w:id="42"/>
      <w:r/>
      <w:bookmarkEnd w:id="43"/>
      <w:r/>
      <w:bookmarkEnd w:id="44"/>
      <w:r/>
      <w:bookmarkEnd w:id="45"/>
      <w:r/>
      <w:bookmarkEnd w:id="46"/>
      <w:r/>
      <w:r/>
    </w:p>
    <w:p>
      <w:pPr>
        <w:ind w:firstLine="480"/>
        <w:spacing w:line="360" w:lineRule="auto"/>
        <w:rPr>
          <w:rFonts w:hint="eastAsia" w:ascii="宋体" w:hAnsi="宋体" w:cs="宋体"/>
          <w:color w:val="auto"/>
          <w:sz w:val="24"/>
          <w:szCs w:val="24"/>
          <w:highlight w:val="none"/>
        </w:rPr>
      </w:pPr>
      <w:r/>
      <w:bookmarkStart w:id="47" w:name="_Toc28359010"/>
      <w:r/>
      <w:bookmarkStart w:id="48" w:name="_Toc28359087"/>
      <w:r>
        <w:rPr>
          <w:rFonts w:hint="eastAsia" w:ascii="宋体" w:hAnsi="宋体" w:cs="宋体"/>
          <w:color w:val="auto"/>
          <w:sz w:val="24"/>
          <w:szCs w:val="24"/>
          <w:highlight w:val="none"/>
        </w:rPr>
        <w:t xml:space="preserve">1.采购人信息</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南通市通州区先锋街道办事处</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址：南通市通州区先锋街道</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张</w:t>
      </w:r>
      <w:r>
        <w:rPr>
          <w:rFonts w:hint="eastAsia" w:ascii="宋体" w:hAnsi="宋体" w:cs="宋体"/>
          <w:color w:val="auto"/>
          <w:sz w:val="24"/>
          <w:szCs w:val="24"/>
          <w:highlight w:val="none"/>
        </w:rPr>
        <w:t xml:space="preserve">先生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联系方式：15162821573</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2.招标代理信息</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称：南通建仁房地产评估工程项目管理有限公司</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　址：南通市通州区锦绣路118号锦安妮纺织品有限公司办公楼三楼</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联系人：陈先生、秦女士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联系方式：15062737585、15996537148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交易系统软件维护人员：</w:t>
      </w:r>
      <w:r>
        <w:rPr>
          <w:rFonts w:ascii="宋体" w:hAnsi="宋体" w:cs="宋体"/>
          <w:color w:val="auto"/>
          <w:sz w:val="24"/>
          <w:szCs w:val="24"/>
          <w:highlight w:val="none"/>
        </w:rPr>
        <w:t xml:space="preserve"> 0519-86722801</w:t>
      </w:r>
      <w:r>
        <w:rPr>
          <w:rFonts w:hint="eastAsia" w:ascii="宋体" w:hAnsi="宋体" w:cs="宋体"/>
          <w:color w:val="auto"/>
          <w:sz w:val="24"/>
          <w:szCs w:val="24"/>
          <w:highlight w:val="none"/>
        </w:rPr>
        <w:t xml:space="preserve"> 0519-86722806</w:t>
      </w:r>
      <w:bookmarkEnd w:id="47"/>
      <w:r/>
      <w:bookmarkEnd w:id="48"/>
      <w:r/>
      <w:r/>
    </w:p>
    <w:p>
      <w:pPr>
        <w:ind w:right="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keepLines/>
        <w:keepNext/>
        <w:spacing w:before="260" w:after="260" w:line="360" w:lineRule="auto"/>
        <w:rPr>
          <w:rFonts w:hint="eastAsia" w:ascii="黑体" w:hAnsi="Arial" w:eastAsia="黑体" w:cs="Arial"/>
          <w:color w:val="auto"/>
          <w:sz w:val="44"/>
          <w:szCs w:val="44"/>
          <w:highlight w:val="none"/>
        </w:rPr>
        <w:outlineLvl w:val="1"/>
      </w:pPr>
      <w:r/>
      <w:bookmarkStart w:id="49" w:name="_Toc120614211"/>
      <w:r>
        <w:rPr>
          <w:rFonts w:hint="eastAsia" w:ascii="黑体" w:hAnsi="Arial" w:eastAsia="黑体" w:cs="Arial"/>
          <w:b/>
          <w:bCs/>
          <w:color w:val="auto"/>
          <w:sz w:val="44"/>
          <w:szCs w:val="44"/>
          <w:highlight w:val="none"/>
        </w:rPr>
        <w:br w:type="column"/>
      </w: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auto"/>
          <w:sz w:val="44"/>
          <w:szCs w:val="44"/>
          <w:highlight w:val="none"/>
        </w:rPr>
        <w:t xml:space="preserve">供应商须知</w:t>
      </w:r>
      <w:r/>
    </w:p>
    <w:p>
      <w:pPr>
        <w:ind w:firstLine="498"/>
        <w:keepLines/>
        <w:keepNext/>
        <w:spacing w:before="156" w:after="156" w:line="360" w:lineRule="auto"/>
        <w:rPr>
          <w:rFonts w:hint="eastAsia" w:ascii="Times New Roman" w:hAnsi="Times New Roman"/>
          <w:b/>
          <w:bCs/>
          <w:color w:val="auto"/>
          <w:sz w:val="32"/>
          <w:szCs w:val="32"/>
          <w:highlight w:val="none"/>
        </w:rPr>
        <w:outlineLvl w:val="2"/>
      </w:pPr>
      <w:r/>
      <w:bookmarkStart w:id="50" w:name="_Toc20823275"/>
      <w:r/>
      <w:bookmarkStart w:id="51" w:name="_Toc513029203"/>
      <w:r/>
      <w:bookmarkStart w:id="52" w:name="_Toc120614214"/>
      <w:r/>
      <w:bookmarkStart w:id="53" w:name="_Toc16938519"/>
      <w:r>
        <w:rPr>
          <w:rFonts w:hint="eastAsia" w:ascii="Times New Roman" w:hAnsi="Times New Roman"/>
          <w:b/>
          <w:bCs/>
          <w:color w:val="auto"/>
          <w:sz w:val="32"/>
          <w:szCs w:val="32"/>
          <w:highlight w:val="none"/>
        </w:rPr>
        <w:t xml:space="preserve">一、总则</w:t>
      </w:r>
      <w:bookmarkEnd w:id="50"/>
      <w:r/>
      <w:bookmarkEnd w:id="51"/>
      <w:r/>
      <w:bookmarkEnd w:id="52"/>
      <w:r/>
      <w:bookmarkEnd w:id="53"/>
      <w:r/>
      <w:r/>
    </w:p>
    <w:p>
      <w:pPr>
        <w:ind w:firstLine="420"/>
        <w:keepLines/>
        <w:keepNext/>
        <w:spacing w:line="360" w:lineRule="auto"/>
        <w:rPr>
          <w:rFonts w:hint="eastAsia" w:ascii="Arial" w:hAnsi="Arial" w:eastAsia="黑体" w:cs="Arial"/>
          <w:color w:val="auto"/>
          <w:sz w:val="28"/>
          <w:szCs w:val="28"/>
          <w:highlight w:val="none"/>
        </w:rPr>
        <w:outlineLvl w:val="3"/>
      </w:pPr>
      <w:r/>
      <w:bookmarkStart w:id="54" w:name="_Hlt16619475"/>
      <w:r/>
      <w:bookmarkEnd w:id="54"/>
      <w:r/>
      <w:bookmarkStart w:id="55" w:name="_Toc458694821"/>
      <w:r/>
      <w:bookmarkStart w:id="56" w:name="_Toc513029204"/>
      <w:r/>
      <w:bookmarkStart w:id="57" w:name="_Toc16938520"/>
      <w:r/>
      <w:bookmarkStart w:id="58" w:name="_Toc20823276"/>
      <w:r>
        <w:rPr>
          <w:rFonts w:hint="eastAsia" w:ascii="Arial" w:hAnsi="Arial" w:eastAsia="黑体" w:cs="Arial"/>
          <w:color w:val="auto"/>
          <w:sz w:val="28"/>
          <w:szCs w:val="28"/>
          <w:highlight w:val="none"/>
        </w:rPr>
        <w:t xml:space="preserve">1</w:t>
      </w:r>
      <w:bookmarkEnd w:id="55"/>
      <w:r>
        <w:rPr>
          <w:rFonts w:hint="eastAsia" w:ascii="Arial" w:hAnsi="Arial" w:eastAsia="黑体" w:cs="Arial"/>
          <w:color w:val="auto"/>
          <w:sz w:val="28"/>
          <w:szCs w:val="28"/>
          <w:highlight w:val="none"/>
        </w:rPr>
        <w:t xml:space="preserve">、采购方式</w:t>
      </w:r>
      <w:bookmarkEnd w:id="56"/>
      <w:r/>
      <w:bookmarkEnd w:id="57"/>
      <w:r/>
      <w:bookmarkEnd w:id="58"/>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1.1 本次政府采购活动采取竞争性磋商(以下简称磋商)方式，本磋商文件仅适用于磋商公告中所述项目。</w:t>
      </w:r>
      <w:r/>
    </w:p>
    <w:p>
      <w:pPr>
        <w:ind w:firstLine="420"/>
        <w:keepLines/>
        <w:keepNext/>
        <w:spacing w:line="360" w:lineRule="auto"/>
        <w:rPr>
          <w:rFonts w:hint="eastAsia" w:ascii="Arial" w:hAnsi="Arial" w:eastAsia="黑体" w:cs="Arial"/>
          <w:color w:val="auto"/>
          <w:sz w:val="28"/>
          <w:szCs w:val="28"/>
          <w:highlight w:val="none"/>
        </w:rPr>
        <w:outlineLvl w:val="3"/>
      </w:pPr>
      <w:r/>
      <w:bookmarkStart w:id="59" w:name="_Toc16938521"/>
      <w:r/>
      <w:bookmarkStart w:id="60" w:name="_Toc513029205"/>
      <w:r/>
      <w:bookmarkStart w:id="61" w:name="_Toc20823277"/>
      <w:r>
        <w:rPr>
          <w:rFonts w:hint="eastAsia" w:ascii="Arial" w:hAnsi="Arial" w:eastAsia="黑体" w:cs="Arial"/>
          <w:color w:val="auto"/>
          <w:sz w:val="28"/>
          <w:szCs w:val="28"/>
          <w:highlight w:val="none"/>
        </w:rPr>
        <w:t xml:space="preserve">2、合格的</w:t>
      </w:r>
      <w:bookmarkEnd w:id="59"/>
      <w:r/>
      <w:bookmarkEnd w:id="60"/>
      <w:r/>
      <w:bookmarkEnd w:id="61"/>
      <w:r>
        <w:rPr>
          <w:rFonts w:hint="eastAsia" w:ascii="Arial" w:hAnsi="Arial" w:eastAsia="黑体" w:cs="Arial"/>
          <w:color w:val="auto"/>
          <w:sz w:val="28"/>
          <w:szCs w:val="28"/>
          <w:highlight w:val="none"/>
        </w:rPr>
        <w:t xml:space="preserve">供应商</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2.1满足磋商公告中供应商资格要求的规定。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2.2 满足本磋商文件实质性要求和条件的规定。</w:t>
      </w:r>
      <w:r/>
    </w:p>
    <w:p>
      <w:pPr>
        <w:ind w:firstLine="420"/>
        <w:keepLines/>
        <w:keepNext/>
        <w:spacing w:line="360" w:lineRule="auto"/>
        <w:rPr>
          <w:rFonts w:hint="eastAsia" w:ascii="Arial" w:hAnsi="Arial" w:eastAsia="黑体" w:cs="Arial"/>
          <w:color w:val="auto"/>
          <w:sz w:val="28"/>
          <w:szCs w:val="28"/>
          <w:highlight w:val="none"/>
        </w:rPr>
        <w:outlineLvl w:val="3"/>
      </w:pPr>
      <w:r/>
      <w:bookmarkStart w:id="62" w:name="_Toc16938522"/>
      <w:r/>
      <w:bookmarkStart w:id="63" w:name="_Toc20823278"/>
      <w:r/>
      <w:bookmarkStart w:id="64" w:name="_Toc513029206"/>
      <w:r>
        <w:rPr>
          <w:rFonts w:hint="eastAsia" w:ascii="Arial" w:hAnsi="Arial" w:eastAsia="黑体" w:cs="Arial"/>
          <w:color w:val="auto"/>
          <w:sz w:val="28"/>
          <w:szCs w:val="28"/>
          <w:highlight w:val="none"/>
        </w:rPr>
        <w:t xml:space="preserve">3、适用法律</w:t>
      </w:r>
      <w:bookmarkEnd w:id="62"/>
      <w:r/>
      <w:bookmarkEnd w:id="63"/>
      <w:r/>
      <w:bookmarkEnd w:id="64"/>
      <w:r/>
      <w:r/>
    </w:p>
    <w:p>
      <w:pPr>
        <w:ind w:firstLine="42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3.1 本次磋商及由此产生的合同受中华人民共和国有关的法律法规制约和保护</w:t>
      </w:r>
      <w:r>
        <w:rPr>
          <w:rFonts w:ascii="宋体" w:hAnsi="宋体"/>
          <w:color w:val="auto"/>
          <w:sz w:val="24"/>
          <w:szCs w:val="21"/>
          <w:highlight w:val="none"/>
        </w:rPr>
        <w:t xml:space="preserve">。</w:t>
      </w:r>
      <w:r/>
    </w:p>
    <w:p>
      <w:pPr>
        <w:ind w:firstLine="420"/>
        <w:keepLines/>
        <w:keepNext/>
        <w:spacing w:line="360" w:lineRule="auto"/>
        <w:rPr>
          <w:rFonts w:hint="eastAsia" w:ascii="Arial" w:hAnsi="Arial" w:eastAsia="黑体" w:cs="Arial"/>
          <w:color w:val="auto"/>
          <w:sz w:val="28"/>
          <w:szCs w:val="28"/>
          <w:highlight w:val="none"/>
        </w:rPr>
        <w:outlineLvl w:val="3"/>
      </w:pPr>
      <w:r/>
      <w:bookmarkStart w:id="65" w:name="_Toc20823279"/>
      <w:r/>
      <w:bookmarkStart w:id="66" w:name="_Toc513029207"/>
      <w:r/>
      <w:bookmarkStart w:id="67" w:name="_Toc16938523"/>
      <w:r/>
      <w:bookmarkStart w:id="68" w:name="_Toc462564067"/>
      <w:r>
        <w:rPr>
          <w:rFonts w:hint="eastAsia" w:ascii="Arial" w:hAnsi="Arial" w:eastAsia="黑体" w:cs="Arial"/>
          <w:color w:val="auto"/>
          <w:sz w:val="28"/>
          <w:szCs w:val="28"/>
          <w:highlight w:val="none"/>
        </w:rPr>
        <w:t xml:space="preserve">4、磋商费用</w:t>
      </w:r>
      <w:bookmarkEnd w:id="65"/>
      <w:r/>
      <w:bookmarkEnd w:id="66"/>
      <w:r/>
      <w:bookmarkEnd w:id="67"/>
      <w:r/>
      <w:bookmarkEnd w:id="68"/>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spacing w:line="360" w:lineRule="auto"/>
        <w:rPr>
          <w:rFonts w:ascii="宋体" w:hAnsi="宋体" w:cs="宋体"/>
          <w:color w:val="auto"/>
          <w:sz w:val="24"/>
          <w:szCs w:val="24"/>
        </w:rPr>
      </w:pPr>
      <w:r>
        <w:rPr>
          <w:rFonts w:hint="eastAsia" w:ascii="宋体" w:hAnsi="宋体" w:eastAsia="宋体" w:cs="Times New Roman"/>
          <w:color w:val="auto"/>
          <w:sz w:val="24"/>
          <w:szCs w:val="24"/>
          <w:highlight w:val="none"/>
        </w:rPr>
        <w:t xml:space="preserve">4.2本项目招标代理服务费</w:t>
      </w:r>
      <w:bookmarkStart w:id="69" w:name="_Hlk171534803"/>
      <w:r>
        <w:rPr>
          <w:rFonts w:hint="eastAsia" w:ascii="宋体" w:hAnsi="宋体" w:cs="Times New Roman"/>
          <w:color w:val="auto"/>
          <w:sz w:val="24"/>
          <w:szCs w:val="24"/>
          <w:highlight w:val="none"/>
          <w:lang w:eastAsia="zh-CN"/>
        </w:rPr>
        <w:t xml:space="preserve">：</w:t>
      </w:r>
      <w:r>
        <w:rPr>
          <w:rFonts w:ascii="宋体" w:hAnsi="宋体" w:cs="宋体"/>
          <w:color w:val="auto"/>
          <w:sz w:val="24"/>
          <w:szCs w:val="24"/>
        </w:rPr>
        <w:t xml:space="preserve">按照《关于印发江苏省招标代理服务收费的指导意见》苏招协【2022】002文差额定率分档累进法计算汇总后的</w:t>
      </w:r>
      <w:r>
        <w:rPr>
          <w:rFonts w:hint="eastAsia" w:ascii="宋体" w:hAnsi="宋体" w:cs="宋体"/>
          <w:color w:val="auto"/>
          <w:sz w:val="24"/>
          <w:szCs w:val="24"/>
          <w:lang w:val="en-US" w:eastAsia="zh-CN"/>
        </w:rPr>
        <w:t xml:space="preserve">8</w:t>
      </w:r>
      <w:r>
        <w:rPr>
          <w:rFonts w:ascii="宋体" w:hAnsi="宋体" w:cs="宋体"/>
          <w:color w:val="auto"/>
          <w:sz w:val="24"/>
          <w:szCs w:val="24"/>
        </w:rPr>
        <w:t xml:space="preserve">0%计取，由</w:t>
      </w:r>
      <w:r>
        <w:rPr>
          <w:rFonts w:hint="eastAsia" w:ascii="宋体" w:hAnsi="宋体" w:cs="宋体"/>
          <w:color w:val="auto"/>
          <w:sz w:val="24"/>
          <w:szCs w:val="24"/>
        </w:rPr>
        <w:t xml:space="preserve">成交</w:t>
      </w:r>
      <w:r>
        <w:rPr>
          <w:rFonts w:ascii="宋体" w:hAnsi="宋体" w:cs="宋体"/>
          <w:color w:val="auto"/>
          <w:sz w:val="24"/>
          <w:szCs w:val="24"/>
        </w:rPr>
        <w:t xml:space="preserve">单位支付，报价时综合考虑。</w:t>
      </w:r>
      <w:r/>
    </w:p>
    <w:p>
      <w:pPr>
        <w:ind w:firstLine="420"/>
        <w:jc w:val="center"/>
        <w:spacing w:line="360" w:lineRule="auto"/>
        <w:tabs>
          <w:tab w:val="left" w:pos="900" w:leader="none"/>
        </w:tabs>
        <w:rPr>
          <w:rFonts w:hint="eastAsia" w:ascii="宋体" w:hAnsi="宋体" w:eastAsia="宋体" w:cs="Times New Roman"/>
          <w:color w:val="auto"/>
          <w:sz w:val="24"/>
          <w:highlight w:val="none"/>
          <w:lang w:val="en-US" w:eastAsia="zh-CN"/>
        </w:rPr>
      </w:pPr>
      <w:r>
        <w:rPr>
          <w:rFonts w:hint="eastAsia"/>
          <w:color w:val="auto"/>
          <w:highlight w:val="none"/>
        </w:rPr>
        <mc:AlternateContent>
          <mc:Choice Requires="wpg">
            <w:drawing>
              <wp:inline xmlns:wp="http://schemas.openxmlformats.org/drawingml/2006/wordprocessingDrawing" distT="0" distB="0" distL="0" distR="0">
                <wp:extent cx="3382010" cy="7188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rcRect l="0" t="0" r="0" b="22842"/>
                        <a:stretch/>
                      </pic:blipFill>
                      <pic:spPr bwMode="auto">
                        <a:xfrm>
                          <a:off x="0" y="0"/>
                          <a:ext cx="3382010" cy="718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66.3pt;height:56.6pt;mso-wrap-distance-left:0.0pt;mso-wrap-distance-top:0.0pt;mso-wrap-distance-right:0.0pt;mso-wrap-distance-bottom:0.0pt;" stroked="f">
                <v:path textboxrect="0,0,0,0"/>
                <v:imagedata r:id="rId23" o:title=""/>
              </v:shape>
            </w:pict>
          </mc:Fallback>
        </mc:AlternateConten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本项目成交金额高于50万元的计算：【1万元+（成交价-50万元）*1.5%】*</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0%</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本项目成交金额低于50万元的计算：1万元*</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0%</w:t>
      </w:r>
      <w:bookmarkEnd w:id="69"/>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4.3本项目不收取磋商文件费。</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5、磋商文件的约束力</w:t>
      </w:r>
      <w:r/>
    </w:p>
    <w:p>
      <w:pPr>
        <w:ind w:firstLine="480"/>
        <w:spacing w:line="360" w:lineRule="auto"/>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供应商一旦参加本项目采购活动，即被认为接受了本磋商文件的规定和约束。</w:t>
      </w:r>
      <w:r/>
    </w:p>
    <w:p>
      <w:pPr>
        <w:ind w:firstLine="321"/>
        <w:keepLines/>
        <w:keepNext/>
        <w:spacing w:before="156" w:after="156" w:line="360" w:lineRule="auto"/>
        <w:rPr>
          <w:rFonts w:hint="eastAsia" w:ascii="Times New Roman" w:hAnsi="Times New Roman"/>
          <w:b/>
          <w:bCs/>
          <w:color w:val="auto"/>
          <w:sz w:val="32"/>
          <w:szCs w:val="32"/>
          <w:highlight w:val="none"/>
        </w:rPr>
        <w:outlineLvl w:val="2"/>
      </w:pPr>
      <w:r/>
      <w:bookmarkStart w:id="70" w:name="_Toc513029209"/>
      <w:r/>
      <w:bookmarkStart w:id="71" w:name="_Toc20823281"/>
      <w:r/>
      <w:bookmarkStart w:id="72" w:name="_Toc120614215"/>
      <w:r/>
      <w:bookmarkStart w:id="73" w:name="_Toc16938525"/>
      <w:r>
        <w:rPr>
          <w:rFonts w:hint="eastAsia" w:ascii="Times New Roman" w:hAnsi="Times New Roman"/>
          <w:b/>
          <w:bCs/>
          <w:color w:val="auto"/>
          <w:sz w:val="32"/>
          <w:szCs w:val="32"/>
          <w:highlight w:val="none"/>
        </w:rPr>
        <w:t xml:space="preserve">二、</w:t>
      </w:r>
      <w:bookmarkEnd w:id="70"/>
      <w:r/>
      <w:bookmarkEnd w:id="71"/>
      <w:r/>
      <w:bookmarkEnd w:id="72"/>
      <w:r/>
      <w:bookmarkEnd w:id="73"/>
      <w:r>
        <w:rPr>
          <w:rFonts w:hint="eastAsia" w:ascii="Times New Roman" w:hAnsi="Times New Roman"/>
          <w:b/>
          <w:bCs/>
          <w:color w:val="auto"/>
          <w:sz w:val="32"/>
          <w:szCs w:val="32"/>
          <w:highlight w:val="none"/>
        </w:rPr>
        <w:t xml:space="preserve">磋商文件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74" w:name="_Toc20823282"/>
      <w:r/>
      <w:bookmarkStart w:id="75" w:name="_Toc16938526"/>
      <w:r/>
      <w:bookmarkStart w:id="76" w:name="_Toc513029210"/>
      <w:r>
        <w:rPr>
          <w:rFonts w:hint="eastAsia" w:ascii="Arial" w:hAnsi="Arial" w:eastAsia="黑体" w:cs="Arial"/>
          <w:color w:val="auto"/>
          <w:sz w:val="28"/>
          <w:szCs w:val="28"/>
          <w:highlight w:val="none"/>
        </w:rPr>
        <w:t xml:space="preserve">6、磋商文件构成</w:t>
      </w:r>
      <w:bookmarkEnd w:id="74"/>
      <w:r/>
      <w:bookmarkEnd w:id="75"/>
      <w:r/>
      <w:bookmarkEnd w:id="76"/>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6.1</w:t>
      </w:r>
      <w:r>
        <w:rPr>
          <w:rFonts w:hint="eastAsia" w:ascii="宋体" w:hAnsi="宋体"/>
          <w:color w:val="auto"/>
          <w:sz w:val="24"/>
          <w:szCs w:val="21"/>
          <w:highlight w:val="none"/>
        </w:rPr>
        <w:t xml:space="preserve">磋商文件由以下部分组成：</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（1）磋商</w:t>
      </w:r>
      <w:r>
        <w:rPr>
          <w:rFonts w:ascii="宋体" w:hAnsi="宋体"/>
          <w:color w:val="auto"/>
          <w:sz w:val="24"/>
          <w:szCs w:val="24"/>
          <w:highlight w:val="none"/>
        </w:rPr>
        <w:t xml:space="preserve">邀请</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（2）供应商须知</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firstLine="36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（6）响应文件格式</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请仔细检查磋商文件是否齐全，如有缺漏请立即与</w:t>
      </w:r>
      <w:r>
        <w:rPr>
          <w:rFonts w:hint="eastAsia" w:ascii="宋体" w:hAnsi="宋体" w:cs="宋体"/>
          <w:color w:val="auto"/>
          <w:sz w:val="24"/>
          <w:szCs w:val="24"/>
          <w:highlight w:val="none"/>
        </w:rPr>
        <w:t xml:space="preserve">代理机构</w:t>
      </w:r>
      <w:r>
        <w:rPr>
          <w:rFonts w:hint="eastAsia" w:ascii="宋体" w:hAnsi="宋体"/>
          <w:color w:val="auto"/>
          <w:sz w:val="24"/>
          <w:szCs w:val="21"/>
          <w:highlight w:val="none"/>
        </w:rPr>
        <w:t xml:space="preserve">联系解决。</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6.2</w:t>
      </w:r>
      <w:r>
        <w:rPr>
          <w:rFonts w:hint="eastAsia" w:ascii="宋体" w:hAnsi="宋体"/>
          <w:color w:val="auto"/>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spacing w:line="360" w:lineRule="auto"/>
        <w:rPr>
          <w:rFonts w:hint="eastAsia" w:ascii="Arial" w:hAnsi="Arial" w:eastAsia="黑体" w:cs="Arial"/>
          <w:color w:val="auto"/>
          <w:sz w:val="28"/>
          <w:szCs w:val="28"/>
          <w:highlight w:val="none"/>
        </w:rPr>
        <w:outlineLvl w:val="3"/>
      </w:pPr>
      <w:r/>
      <w:bookmarkStart w:id="77" w:name="_Toc20823283"/>
      <w:r/>
      <w:bookmarkStart w:id="78" w:name="_Toc513029211"/>
      <w:r/>
      <w:bookmarkStart w:id="79" w:name="_Toc16938527"/>
      <w:r/>
      <w:bookmarkStart w:id="80" w:name="_Toc462564070"/>
      <w:r>
        <w:rPr>
          <w:rFonts w:hint="eastAsia" w:ascii="Arial" w:hAnsi="Arial" w:eastAsia="黑体" w:cs="Arial"/>
          <w:color w:val="auto"/>
          <w:sz w:val="28"/>
          <w:szCs w:val="28"/>
          <w:highlight w:val="none"/>
        </w:rPr>
        <w:t xml:space="preserve">7、磋商文件的澄清</w:t>
      </w:r>
      <w:bookmarkEnd w:id="77"/>
      <w:r/>
      <w:bookmarkEnd w:id="78"/>
      <w:r/>
      <w:bookmarkEnd w:id="79"/>
      <w:r/>
      <w:bookmarkEnd w:id="80"/>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7.1任何要求对磋商文件进行澄清的供应商，应在磋商截止期5日</w:t>
      </w:r>
      <w:r>
        <w:rPr>
          <w:rFonts w:hint="eastAsia" w:ascii="仿宋_GB2312" w:hAnsi="仿宋_GB2312"/>
          <w:color w:val="auto"/>
          <w:sz w:val="24"/>
          <w:szCs w:val="24"/>
          <w:highlight w:val="none"/>
        </w:rPr>
        <w:t xml:space="preserve">前</w:t>
      </w:r>
      <w:r>
        <w:rPr>
          <w:rFonts w:hint="eastAsia" w:ascii="宋体" w:hAnsi="宋体"/>
          <w:color w:val="auto"/>
          <w:sz w:val="24"/>
          <w:szCs w:val="21"/>
          <w:highlight w:val="none"/>
        </w:rPr>
        <w:t xml:space="preserve">按磋商公告中的通讯地址，以书面形式通知采购人或代理机构。</w:t>
      </w:r>
      <w:r/>
    </w:p>
    <w:p>
      <w:pPr>
        <w:ind w:firstLine="560"/>
        <w:keepLines/>
        <w:keepNext/>
        <w:spacing w:line="360" w:lineRule="auto"/>
        <w:rPr>
          <w:rFonts w:hint="eastAsia" w:ascii="Arial" w:hAnsi="Arial" w:eastAsia="黑体" w:cs="Arial"/>
          <w:color w:val="auto"/>
          <w:sz w:val="28"/>
          <w:szCs w:val="28"/>
          <w:highlight w:val="none"/>
        </w:rPr>
        <w:outlineLvl w:val="3"/>
      </w:pPr>
      <w:r/>
      <w:bookmarkStart w:id="81" w:name="_Toc462564071"/>
      <w:r/>
      <w:bookmarkStart w:id="82" w:name="_Toc513029212"/>
      <w:r/>
      <w:bookmarkStart w:id="83" w:name="_Toc16938528"/>
      <w:r/>
      <w:bookmarkStart w:id="84" w:name="_Toc20823284"/>
      <w:r>
        <w:rPr>
          <w:rFonts w:hint="eastAsia" w:ascii="Arial" w:hAnsi="Arial" w:eastAsia="黑体" w:cs="Arial"/>
          <w:color w:val="auto"/>
          <w:sz w:val="28"/>
          <w:szCs w:val="28"/>
          <w:highlight w:val="none"/>
        </w:rPr>
        <w:t xml:space="preserve">8、磋商文件的澄清和修改</w:t>
      </w:r>
      <w:bookmarkEnd w:id="81"/>
      <w:r/>
      <w:bookmarkEnd w:id="82"/>
      <w:r/>
      <w:bookmarkEnd w:id="83"/>
      <w:r/>
      <w:bookmarkEnd w:id="84"/>
      <w:r/>
      <w:r/>
    </w:p>
    <w:p>
      <w:pPr>
        <w:ind w:firstLine="480"/>
        <w:spacing w:line="360" w:lineRule="auto"/>
        <w:rPr>
          <w:rFonts w:ascii="宋体" w:hAnsi="宋体"/>
          <w:color w:val="auto"/>
          <w:sz w:val="24"/>
          <w:szCs w:val="21"/>
          <w:highlight w:val="none"/>
        </w:rPr>
      </w:pPr>
      <w:r>
        <w:rPr>
          <w:rFonts w:hint="eastAsia" w:ascii="宋体" w:hAnsi="宋体"/>
          <w:bCs/>
          <w:color w:val="auto"/>
          <w:sz w:val="24"/>
          <w:szCs w:val="21"/>
          <w:highlight w:val="none"/>
        </w:rPr>
        <w:t xml:space="preserve">8.1</w:t>
      </w:r>
      <w:r>
        <w:rPr>
          <w:rFonts w:hint="eastAsia" w:ascii="宋体" w:hAnsi="宋体"/>
          <w:color w:val="auto"/>
          <w:sz w:val="24"/>
          <w:szCs w:val="21"/>
          <w:highlight w:val="none"/>
        </w:rPr>
        <w:t xml:space="preserve"> 在响应文件提交截止时间</w:t>
      </w:r>
      <w:r>
        <w:rPr>
          <w:rFonts w:hint="eastAsia" w:ascii="仿宋_GB2312" w:hAnsi="仿宋_GB2312"/>
          <w:color w:val="auto"/>
          <w:sz w:val="24"/>
          <w:szCs w:val="21"/>
          <w:highlight w:val="none"/>
        </w:rPr>
        <w:t xml:space="preserve">前</w:t>
      </w:r>
      <w:r>
        <w:rPr>
          <w:rFonts w:hint="eastAsia" w:ascii="宋体" w:hAnsi="宋体"/>
          <w:color w:val="auto"/>
          <w:sz w:val="24"/>
          <w:szCs w:val="21"/>
          <w:highlight w:val="none"/>
        </w:rPr>
        <w:t xml:space="preserve">，采购人或代理机构可以对磋商文件进行澄清和修改,</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Times New Roman" w:hAnsi="Times New Roman"/>
          <w:color w:val="auto"/>
          <w:szCs w:val="21"/>
          <w:highlight w:val="none"/>
        </w:rPr>
        <w:t xml:space="preserve"> </w:t>
      </w:r>
      <w:r>
        <w:rPr>
          <w:rFonts w:hint="eastAsia" w:ascii="宋体" w:hAnsi="宋体"/>
          <w:color w:val="auto"/>
          <w:sz w:val="24"/>
          <w:szCs w:val="21"/>
          <w:highlight w:val="none"/>
        </w:rPr>
        <w:t xml:space="preserve">更正公告内容将作为磋商文件的组成部分，并对供应商具有约束力。不足5日的，采购人或代理机构将顺延提交首次响应文件截止时间。</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85" w:name="_Toc120614216"/>
      <w:r/>
      <w:bookmarkStart w:id="86" w:name="_Toc16938529"/>
      <w:r/>
      <w:bookmarkStart w:id="87" w:name="_Toc513029213"/>
      <w:r/>
      <w:bookmarkStart w:id="88" w:name="_Toc462564072"/>
      <w:r/>
      <w:bookmarkStart w:id="89" w:name="_Toc20823285"/>
      <w:r>
        <w:rPr>
          <w:rFonts w:hint="eastAsia" w:ascii="Times New Roman" w:hAnsi="Times New Roman"/>
          <w:b/>
          <w:bCs/>
          <w:color w:val="auto"/>
          <w:sz w:val="32"/>
          <w:szCs w:val="32"/>
          <w:highlight w:val="none"/>
        </w:rPr>
        <w:t xml:space="preserve">三、响应文件的编制</w:t>
      </w:r>
      <w:bookmarkEnd w:id="85"/>
      <w:r/>
      <w:bookmarkEnd w:id="86"/>
      <w:r/>
      <w:bookmarkEnd w:id="87"/>
      <w:r/>
      <w:bookmarkEnd w:id="88"/>
      <w:r/>
      <w:bookmarkEnd w:id="89"/>
      <w:r/>
      <w:r/>
    </w:p>
    <w:p>
      <w:pPr>
        <w:ind w:firstLine="560"/>
        <w:keepLines/>
        <w:keepNext/>
        <w:spacing w:line="360" w:lineRule="auto"/>
        <w:rPr>
          <w:rFonts w:hint="eastAsia" w:ascii="Arial" w:hAnsi="Arial" w:eastAsia="黑体" w:cs="Arial"/>
          <w:b/>
          <w:color w:val="auto"/>
          <w:sz w:val="28"/>
          <w:szCs w:val="28"/>
          <w:highlight w:val="none"/>
        </w:rPr>
        <w:outlineLvl w:val="3"/>
      </w:pPr>
      <w:r/>
      <w:bookmarkStart w:id="90" w:name="_Toc462564073"/>
      <w:r/>
      <w:bookmarkStart w:id="91" w:name="_Toc16938530"/>
      <w:r/>
      <w:bookmarkStart w:id="92" w:name="_Toc513029214"/>
      <w:r/>
      <w:bookmarkStart w:id="93" w:name="_Toc20823286"/>
      <w:r>
        <w:rPr>
          <w:rFonts w:hint="eastAsia" w:ascii="Arial" w:hAnsi="Arial" w:eastAsia="黑体" w:cs="Arial"/>
          <w:color w:val="auto"/>
          <w:sz w:val="28"/>
          <w:szCs w:val="28"/>
          <w:highlight w:val="none"/>
        </w:rPr>
        <w:t xml:space="preserve">9、响应文件的语言及度量衡单位</w:t>
      </w:r>
      <w:bookmarkEnd w:id="90"/>
      <w:r/>
      <w:bookmarkEnd w:id="91"/>
      <w:r/>
      <w:bookmarkEnd w:id="92"/>
      <w:r/>
      <w:bookmarkEnd w:id="93"/>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9.1</w:t>
      </w:r>
      <w:r>
        <w:rPr>
          <w:rFonts w:hint="eastAsia" w:ascii="宋体" w:hAnsi="宋体"/>
          <w:color w:val="auto"/>
          <w:sz w:val="24"/>
          <w:szCs w:val="21"/>
          <w:highlight w:val="none"/>
        </w:rPr>
        <w:t xml:space="preserve">供应商提交的响应文件以及供应商与采购人就有关磋商的所有来往通知、函件和文件均应使用简体中文。</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9.2</w:t>
      </w:r>
      <w:r>
        <w:rPr>
          <w:rFonts w:hint="eastAsia" w:ascii="宋体" w:hAnsi="宋体"/>
          <w:color w:val="auto"/>
          <w:sz w:val="24"/>
          <w:szCs w:val="21"/>
          <w:highlight w:val="none"/>
        </w:rPr>
        <w:t xml:space="preserve"> 除技术性能另有规定外，响应文件所使用的度量衡单位，均须采用国家法定计量单位。</w:t>
      </w:r>
      <w:r/>
    </w:p>
    <w:p>
      <w:pPr>
        <w:ind w:firstLine="420"/>
        <w:keepLines/>
        <w:keepNext/>
        <w:spacing w:line="360" w:lineRule="auto"/>
        <w:rPr>
          <w:rFonts w:hint="eastAsia" w:ascii="Arial" w:hAnsi="Arial" w:eastAsia="黑体" w:cs="Arial"/>
          <w:color w:val="auto"/>
          <w:sz w:val="28"/>
          <w:szCs w:val="28"/>
          <w:highlight w:val="none"/>
        </w:rPr>
        <w:outlineLvl w:val="3"/>
      </w:pPr>
      <w:r/>
      <w:bookmarkStart w:id="94" w:name="_Toc16938531"/>
      <w:r/>
      <w:bookmarkStart w:id="95" w:name="_Toc20823287"/>
      <w:r/>
      <w:bookmarkStart w:id="96" w:name="_Toc462564074"/>
      <w:r/>
      <w:bookmarkStart w:id="97" w:name="_Toc513029215"/>
      <w:r>
        <w:rPr>
          <w:rFonts w:hint="eastAsia" w:ascii="Arial" w:hAnsi="Arial" w:eastAsia="黑体" w:cs="Arial"/>
          <w:color w:val="auto"/>
          <w:sz w:val="28"/>
          <w:szCs w:val="28"/>
          <w:highlight w:val="none"/>
        </w:rPr>
        <w:t xml:space="preserve">10、响应文件构成</w:t>
      </w:r>
      <w:bookmarkEnd w:id="94"/>
      <w:r/>
      <w:bookmarkEnd w:id="95"/>
      <w:r/>
      <w:bookmarkEnd w:id="96"/>
      <w:r/>
      <w:bookmarkEnd w:id="97"/>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10.1</w:t>
      </w:r>
      <w:r>
        <w:rPr>
          <w:rFonts w:hint="eastAsia" w:ascii="宋体" w:hAnsi="宋体" w:cs="宋体"/>
          <w:color w:val="auto"/>
          <w:sz w:val="24"/>
          <w:szCs w:val="24"/>
          <w:highlight w:val="none"/>
          <w:lang w:val="zh-CN"/>
        </w:rPr>
        <w:t xml:space="preserve">供应商编写的响应文件应包括资格证明文件、符合性证明文件、已标价工程量清单、其他证明文件、磋商响应函等部分。</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10.2 如标书制作工具中格式和内容与“江苏政府采购网”发布的磋商文件不一致，请以“江苏政府采购网”发布的磋商文件为准。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98" w:name="_Hlt26670360"/>
      <w:r/>
      <w:bookmarkEnd w:id="98"/>
      <w:r/>
      <w:bookmarkStart w:id="99" w:name="_Hlt26668975"/>
      <w:r/>
      <w:bookmarkEnd w:id="99"/>
      <w:r/>
      <w:bookmarkStart w:id="100" w:name="_Hlt26954838"/>
      <w:r/>
      <w:bookmarkEnd w:id="100"/>
      <w:r/>
      <w:bookmarkStart w:id="101" w:name="_Toc14577357"/>
      <w:r/>
      <w:bookmarkStart w:id="102" w:name="_Toc49090509"/>
      <w:r/>
      <w:bookmarkStart w:id="103" w:name="_Toc513029219"/>
      <w:r/>
      <w:bookmarkStart w:id="104" w:name="_Toc14577354"/>
      <w:r/>
      <w:bookmarkStart w:id="105" w:name="_Toc513029216"/>
      <w:r/>
      <w:bookmarkStart w:id="106" w:name="_Toc49090507"/>
      <w:r/>
      <w:bookmarkStart w:id="107" w:name="_Toc49090508"/>
      <w:r/>
      <w:bookmarkStart w:id="108" w:name="_Toc14577355"/>
      <w:r>
        <w:rPr>
          <w:rFonts w:hint="eastAsia" w:ascii="Arial" w:hAnsi="Arial" w:eastAsia="黑体" w:cs="Arial"/>
          <w:color w:val="auto"/>
          <w:sz w:val="28"/>
          <w:szCs w:val="28"/>
          <w:highlight w:val="none"/>
        </w:rPr>
        <w:t xml:space="preserve">11、证明磋商响应标的符合磋商文件规定的文件</w:t>
      </w:r>
      <w:bookmarkEnd w:id="101"/>
      <w:r/>
      <w:bookmarkEnd w:id="102"/>
      <w:r/>
      <w:bookmarkEnd w:id="103"/>
      <w:r/>
      <w:bookmarkEnd w:id="104"/>
      <w:r/>
      <w:bookmarkEnd w:id="105"/>
      <w:r/>
      <w:bookmarkEnd w:id="106"/>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11.1供应商应按照磋商文件要求提交证明文件，证明其及磋商响应标的符合磋商文件规定。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11.2磋商文件对证明文件无明确形式要求的，证明文件可以以文字资料、图纸和数据等形式提交。</w:t>
      </w:r>
      <w:bookmarkEnd w:id="107"/>
      <w:r/>
      <w:bookmarkEnd w:id="108"/>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12、</w:t>
      </w:r>
      <w:r>
        <w:rPr>
          <w:rFonts w:hint="eastAsia" w:ascii="Arial" w:hAnsi="Arial" w:eastAsia="黑体" w:cs="Arial"/>
          <w:color w:val="auto"/>
          <w:sz w:val="28"/>
          <w:szCs w:val="28"/>
          <w:highlight w:val="none"/>
          <w:lang w:val="en-US" w:eastAsia="zh-CN"/>
        </w:rPr>
        <w:t xml:space="preserve">已标价工程量清单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12.2</w:t>
      </w:r>
      <w:r>
        <w:rPr>
          <w:rFonts w:hint="eastAsia" w:ascii="宋体" w:hAnsi="宋体"/>
          <w:bCs/>
          <w:color w:val="auto"/>
          <w:sz w:val="24"/>
          <w:szCs w:val="21"/>
          <w:highlight w:val="none"/>
        </w:rPr>
        <w:t xml:space="preserve">磋商货币。响应文件中的单价和总价无特殊规定的采用人民币报价，以元为单位标注。</w:t>
      </w:r>
      <w:r>
        <w:rPr>
          <w:rFonts w:hint="eastAsia" w:ascii="宋体" w:hAnsi="宋体"/>
          <w:color w:val="auto"/>
          <w:sz w:val="24"/>
          <w:szCs w:val="21"/>
          <w:highlight w:val="none"/>
        </w:rPr>
        <w:t xml:space="preserve">磋商文件中另有规定的按规定执行。</w:t>
      </w:r>
      <w:r/>
    </w:p>
    <w:p>
      <w:pPr>
        <w:ind w:firstLine="420"/>
        <w:keepLines/>
        <w:keepNext/>
        <w:spacing w:line="360" w:lineRule="auto"/>
        <w:rPr>
          <w:rFonts w:hint="eastAsia" w:ascii="Arial" w:hAnsi="Arial" w:eastAsia="黑体" w:cs="Arial"/>
          <w:color w:val="auto"/>
          <w:sz w:val="28"/>
          <w:szCs w:val="28"/>
          <w:highlight w:val="none"/>
        </w:rPr>
        <w:outlineLvl w:val="3"/>
      </w:pPr>
      <w:r/>
      <w:bookmarkStart w:id="109" w:name="_Hlt26954848"/>
      <w:r/>
      <w:bookmarkEnd w:id="109"/>
      <w:r/>
      <w:bookmarkStart w:id="110" w:name="_Hlt26954846"/>
      <w:r/>
      <w:bookmarkEnd w:id="110"/>
      <w:r/>
      <w:bookmarkStart w:id="111" w:name="_Hlt26670482"/>
      <w:r/>
      <w:bookmarkEnd w:id="111"/>
      <w:r/>
      <w:bookmarkStart w:id="112" w:name="_Hlt26670486"/>
      <w:r/>
      <w:bookmarkEnd w:id="112"/>
      <w:r/>
      <w:bookmarkStart w:id="113" w:name="_Hlt26954731"/>
      <w:r/>
      <w:bookmarkEnd w:id="113"/>
      <w:r>
        <w:rPr>
          <w:rFonts w:hint="eastAsia" w:ascii="Arial" w:hAnsi="Arial" w:eastAsia="黑体" w:cs="Arial"/>
          <w:color w:val="auto"/>
          <w:sz w:val="28"/>
          <w:szCs w:val="28"/>
          <w:highlight w:val="none"/>
        </w:rPr>
        <w:t xml:space="preserve">13、技术要求响应及偏离表、商务要求响应及偏离表</w:t>
      </w:r>
      <w:r/>
    </w:p>
    <w:p>
      <w:pPr>
        <w:ind w:firstLine="480"/>
        <w:spacing w:line="360" w:lineRule="auto"/>
        <w:rPr>
          <w:rFonts w:hint="eastAsia" w:ascii="宋体" w:hAnsi="Arial" w:cs="宋体"/>
          <w:color w:val="auto"/>
          <w:sz w:val="24"/>
          <w:szCs w:val="21"/>
          <w:highlight w:val="none"/>
          <w:lang w:val="zh-CN"/>
        </w:rPr>
      </w:pPr>
      <w:r>
        <w:rPr>
          <w:rFonts w:ascii="宋体" w:hAnsi="Arial" w:cs="宋体"/>
          <w:bCs/>
          <w:color w:val="auto"/>
          <w:sz w:val="24"/>
          <w:szCs w:val="21"/>
          <w:highlight w:val="none"/>
          <w:lang w:val="zh-CN"/>
        </w:rPr>
        <w:t xml:space="preserve">1</w:t>
      </w:r>
      <w:r>
        <w:rPr>
          <w:rFonts w:hint="eastAsia" w:ascii="宋体" w:hAnsi="Arial" w:cs="宋体"/>
          <w:bCs/>
          <w:color w:val="auto"/>
          <w:sz w:val="24"/>
          <w:szCs w:val="21"/>
          <w:highlight w:val="none"/>
          <w:lang w:val="zh-CN"/>
        </w:rPr>
        <w:t xml:space="preserve">3</w:t>
      </w:r>
      <w:r>
        <w:rPr>
          <w:rFonts w:ascii="宋体" w:hAnsi="Arial" w:cs="宋体"/>
          <w:bCs/>
          <w:color w:val="auto"/>
          <w:sz w:val="24"/>
          <w:szCs w:val="21"/>
          <w:highlight w:val="none"/>
          <w:lang w:val="zh-CN"/>
        </w:rPr>
        <w:t xml:space="preserve">.1</w:t>
      </w:r>
      <w:r>
        <w:rPr>
          <w:rFonts w:hint="eastAsia" w:ascii="宋体" w:hAnsi="Arial" w:cs="宋体"/>
          <w:color w:val="auto"/>
          <w:sz w:val="24"/>
          <w:szCs w:val="21"/>
          <w:highlight w:val="none"/>
          <w:lang w:val="zh-CN"/>
        </w:rPr>
        <w:t xml:space="preserve">供应商需对磋商文件中的技术要求与商务要求逐项作出响应或偏离，并说明原因。</w:t>
      </w:r>
      <w:r/>
    </w:p>
    <w:p>
      <w:pPr>
        <w:ind w:firstLine="480"/>
        <w:spacing w:line="360" w:lineRule="auto"/>
        <w:rPr>
          <w:rFonts w:hint="eastAsia" w:ascii="宋体" w:hAnsi="Arial" w:cs="宋体"/>
          <w:color w:val="auto"/>
          <w:sz w:val="24"/>
          <w:szCs w:val="21"/>
          <w:highlight w:val="none"/>
          <w:lang w:val="zh-CN"/>
        </w:rPr>
      </w:pPr>
      <w:r>
        <w:rPr>
          <w:rFonts w:hint="eastAsia" w:ascii="宋体" w:hAnsi="Arial" w:cs="宋体"/>
          <w:color w:val="auto"/>
          <w:sz w:val="24"/>
          <w:szCs w:val="21"/>
          <w:highlight w:val="none"/>
          <w:lang w:val="zh-CN"/>
        </w:rPr>
        <w:t xml:space="preserve">13.2供应商可在响应文件中提供认为需要的其他技术文件或说明。</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施工方案、</w:t>
      </w:r>
      <w:r>
        <w:rPr>
          <w:rFonts w:hint="eastAsia" w:ascii="Arial" w:hAnsi="Arial" w:eastAsia="黑体" w:cs="Arial"/>
          <w:color w:val="auto"/>
          <w:sz w:val="28"/>
          <w:szCs w:val="28"/>
          <w:highlight w:val="none"/>
        </w:rPr>
        <w:t xml:space="preserve">服务承诺、培训计划、人员安排及其他</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14.1供应商需根据磋商文件要求提供有关售后服务的管理制度，售后服务机构的分布情况，售后服务人员的数量、素质、技术水平及售后服务的反应能力等。</w:t>
      </w:r>
      <w:r/>
    </w:p>
    <w:p>
      <w:pPr>
        <w:ind w:firstLine="480"/>
        <w:spacing w:line="360" w:lineRule="auto"/>
        <w:rPr>
          <w:rFonts w:ascii="宋体" w:hAnsi="宋体"/>
          <w:bCs/>
          <w:color w:val="auto"/>
          <w:sz w:val="24"/>
          <w:szCs w:val="21"/>
          <w:highlight w:val="none"/>
        </w:rPr>
      </w:pPr>
      <w:r>
        <w:rPr>
          <w:rFonts w:ascii="宋体" w:hAnsi="宋体"/>
          <w:bCs/>
          <w:color w:val="auto"/>
          <w:sz w:val="24"/>
          <w:szCs w:val="21"/>
          <w:highlight w:val="none"/>
        </w:rPr>
        <w:t xml:space="preserve">14.2</w:t>
      </w:r>
      <w:r>
        <w:rPr>
          <w:rFonts w:hint="eastAsia" w:ascii="宋体" w:hAnsi="宋体" w:eastAsia="宋体" w:cs="宋体"/>
          <w:color w:val="auto"/>
          <w:sz w:val="24"/>
          <w:szCs w:val="24"/>
          <w:highlight w:val="none"/>
          <w:lang w:val="en-US" w:eastAsia="zh-CN"/>
        </w:rPr>
        <w:t xml:space="preserve">供应商需根据磋商文件要求提供有关施工方案等。</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14.3供应商需根据磋商文件要求提供磋商响应标的的主要组成部分、功能设计、实现思路及关键技术等。</w:t>
      </w:r>
      <w:r/>
    </w:p>
    <w:p>
      <w:pPr>
        <w:ind w:firstLine="420"/>
        <w:keepLines/>
        <w:keepNext/>
        <w:spacing w:line="360" w:lineRule="auto"/>
        <w:rPr>
          <w:rFonts w:hint="eastAsia" w:ascii="Arial" w:hAnsi="Arial" w:eastAsia="黑体" w:cs="Arial"/>
          <w:color w:val="auto"/>
          <w:sz w:val="28"/>
          <w:szCs w:val="28"/>
          <w:highlight w:val="none"/>
        </w:rPr>
        <w:outlineLvl w:val="3"/>
      </w:pPr>
      <w:r/>
      <w:bookmarkStart w:id="114" w:name="_Toc49090510"/>
      <w:r/>
      <w:bookmarkStart w:id="115" w:name="_Toc14577359"/>
      <w:r>
        <w:rPr>
          <w:rFonts w:hint="eastAsia" w:ascii="Arial" w:hAnsi="Arial" w:eastAsia="黑体" w:cs="Arial"/>
          <w:color w:val="auto"/>
          <w:sz w:val="28"/>
          <w:szCs w:val="28"/>
          <w:highlight w:val="none"/>
        </w:rPr>
        <w:t xml:space="preserve">15、磋商响应函</w:t>
      </w:r>
      <w:r/>
    </w:p>
    <w:p>
      <w:pPr>
        <w:ind w:firstLine="480"/>
        <w:spacing w:line="360" w:lineRule="auto"/>
        <w:rPr>
          <w:rFonts w:hint="eastAsia" w:ascii="宋体" w:hAnsi="宋体"/>
          <w:color w:val="auto"/>
          <w:sz w:val="24"/>
          <w:szCs w:val="21"/>
          <w:highlight w:val="none"/>
        </w:rPr>
      </w:pPr>
      <w:r>
        <w:rPr>
          <w:rFonts w:hint="eastAsia" w:ascii="宋体" w:hAnsi="宋体"/>
          <w:bCs/>
          <w:color w:val="auto"/>
          <w:sz w:val="24"/>
          <w:szCs w:val="21"/>
          <w:highlight w:val="none"/>
        </w:rPr>
        <w:t xml:space="preserve">15.1</w:t>
      </w:r>
      <w:r>
        <w:rPr>
          <w:rFonts w:hint="eastAsia" w:ascii="宋体" w:hAnsi="宋体"/>
          <w:color w:val="auto"/>
          <w:sz w:val="24"/>
          <w:szCs w:val="21"/>
          <w:highlight w:val="none"/>
        </w:rPr>
        <w:t xml:space="preserve">供应商应按照磋商文件中提供的格式完整、正确填写磋商响应函。</w:t>
      </w:r>
      <w:bookmarkEnd w:id="114"/>
      <w:r/>
      <w:bookmarkEnd w:id="115"/>
      <w:r/>
      <w:r/>
    </w:p>
    <w:p>
      <w:pPr>
        <w:ind w:firstLine="420"/>
        <w:keepLines/>
        <w:keepNext/>
        <w:spacing w:line="360" w:lineRule="auto"/>
        <w:rPr>
          <w:rFonts w:hint="eastAsia" w:ascii="Arial" w:hAnsi="Arial" w:eastAsia="黑体" w:cs="Arial"/>
          <w:color w:val="auto"/>
          <w:sz w:val="28"/>
          <w:szCs w:val="28"/>
          <w:highlight w:val="none"/>
        </w:rPr>
        <w:outlineLvl w:val="3"/>
      </w:pPr>
      <w:r/>
      <w:bookmarkStart w:id="116" w:name="_Toc49090511"/>
      <w:r/>
      <w:bookmarkStart w:id="117" w:name="_Toc14577360"/>
      <w:r>
        <w:rPr>
          <w:rFonts w:hint="eastAsia" w:ascii="Arial" w:hAnsi="Arial" w:eastAsia="黑体" w:cs="Arial"/>
          <w:color w:val="auto"/>
          <w:sz w:val="28"/>
          <w:szCs w:val="28"/>
          <w:highlight w:val="none"/>
        </w:rPr>
        <w:t xml:space="preserve">16、磋商有效期</w:t>
      </w:r>
      <w:bookmarkEnd w:id="116"/>
      <w:r/>
      <w:bookmarkEnd w:id="117"/>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16.1磋商有效期为采购人规定的提交响应文件截止之日后</w:t>
      </w:r>
      <w:r>
        <w:rPr>
          <w:rFonts w:hint="eastAsia" w:ascii="仿宋_GB2312" w:hAnsi="仿宋_GB2312"/>
          <w:b/>
          <w:color w:val="auto"/>
          <w:sz w:val="24"/>
          <w:szCs w:val="21"/>
          <w:highlight w:val="none"/>
          <w:u w:val="single"/>
        </w:rPr>
        <w:t xml:space="preserve">六十（60）天</w:t>
      </w:r>
      <w:r>
        <w:rPr>
          <w:rFonts w:hint="eastAsia" w:ascii="宋体" w:hAnsi="宋体"/>
          <w:bCs/>
          <w:color w:val="auto"/>
          <w:sz w:val="24"/>
          <w:szCs w:val="21"/>
          <w:highlight w:val="none"/>
        </w:rPr>
        <w:t xml:space="preserve">。磋商有效期比规定短的将被视为非实质性响应磋商文件而予以拒绝。</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、磋商有效期的延长</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color w:val="auto"/>
          <w:sz w:val="24"/>
          <w:szCs w:val="24"/>
          <w:highlight w:val="none"/>
        </w:rPr>
        <w:t xml:space="preserve">受磋商有效期约束的所有权利与义务均延长至新的有效期</w:t>
      </w:r>
      <w:r>
        <w:rPr>
          <w:rFonts w:hint="eastAsia" w:ascii="宋体" w:hAnsi="宋体"/>
          <w:bCs/>
          <w:color w:val="auto"/>
          <w:sz w:val="24"/>
          <w:szCs w:val="21"/>
          <w:highlight w:val="none"/>
        </w:rPr>
        <w:t xml:space="preserve">。</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18" w:name="_Hlt26954852"/>
      <w:r/>
      <w:bookmarkEnd w:id="118"/>
      <w:r/>
      <w:bookmarkStart w:id="119" w:name="_Hlt26954739"/>
      <w:r/>
      <w:bookmarkEnd w:id="119"/>
      <w:r/>
      <w:bookmarkStart w:id="120" w:name="_Toc513029224"/>
      <w:r/>
      <w:bookmarkStart w:id="121" w:name="_Toc16938540"/>
      <w:r/>
      <w:bookmarkStart w:id="122" w:name="_Toc20823296"/>
      <w:r/>
      <w:bookmarkStart w:id="123" w:name="_Toc120614217"/>
      <w:r>
        <w:rPr>
          <w:rFonts w:hint="eastAsia" w:ascii="Times New Roman" w:hAnsi="Times New Roman"/>
          <w:b/>
          <w:bCs/>
          <w:color w:val="auto"/>
          <w:sz w:val="32"/>
          <w:szCs w:val="32"/>
          <w:highlight w:val="none"/>
        </w:rPr>
        <w:t xml:space="preserve">四、响应文件的递交</w:t>
      </w:r>
      <w:bookmarkEnd w:id="120"/>
      <w:r/>
      <w:bookmarkEnd w:id="121"/>
      <w:r/>
      <w:bookmarkEnd w:id="122"/>
      <w:r/>
      <w:bookmarkEnd w:id="123"/>
      <w:r/>
      <w:r/>
    </w:p>
    <w:p>
      <w:pPr>
        <w:ind w:firstLine="420"/>
        <w:keepLines/>
        <w:keepNext/>
        <w:spacing w:line="360" w:lineRule="auto"/>
        <w:rPr>
          <w:rFonts w:hint="eastAsia" w:ascii="Arial" w:hAnsi="Arial" w:eastAsia="黑体" w:cs="Arial"/>
          <w:color w:val="auto"/>
          <w:sz w:val="28"/>
          <w:szCs w:val="28"/>
          <w:highlight w:val="none"/>
        </w:rPr>
        <w:outlineLvl w:val="3"/>
      </w:pPr>
      <w:r/>
      <w:bookmarkStart w:id="124" w:name="_Toc513029225"/>
      <w:r/>
      <w:bookmarkStart w:id="125" w:name="_Toc16938541"/>
      <w:r/>
      <w:bookmarkStart w:id="126" w:name="_Toc20823297"/>
      <w:r/>
      <w:bookmarkStart w:id="127" w:name="_Toc462564084"/>
      <w:r>
        <w:rPr>
          <w:rFonts w:hint="eastAsia" w:ascii="Arial" w:hAnsi="Arial" w:eastAsia="黑体" w:cs="Arial"/>
          <w:color w:val="auto"/>
          <w:sz w:val="28"/>
          <w:szCs w:val="28"/>
          <w:highlight w:val="none"/>
        </w:rPr>
        <w:t xml:space="preserve">18、电子磋商</w:t>
      </w:r>
      <w:bookmarkEnd w:id="124"/>
      <w:r/>
      <w:bookmarkEnd w:id="125"/>
      <w:r/>
      <w:bookmarkEnd w:id="126"/>
      <w:r/>
      <w:bookmarkEnd w:id="127"/>
      <w:r>
        <w:rPr>
          <w:rFonts w:hint="eastAsia" w:ascii="Arial" w:hAnsi="Arial" w:eastAsia="黑体" w:cs="Arial"/>
          <w:color w:val="auto"/>
          <w:sz w:val="28"/>
          <w:szCs w:val="28"/>
          <w:highlight w:val="none"/>
        </w:rPr>
        <w:t xml:space="preserve">响应文件的递交</w:t>
      </w:r>
      <w:r/>
    </w:p>
    <w:p>
      <w:pPr>
        <w:ind w:firstLine="480"/>
        <w:spacing w:line="360" w:lineRule="auto"/>
        <w:rPr>
          <w:rFonts w:ascii="宋体" w:hAnsi="宋体"/>
          <w:bCs/>
          <w:color w:val="auto"/>
          <w:sz w:val="24"/>
          <w:szCs w:val="21"/>
          <w:highlight w:val="none"/>
        </w:rPr>
      </w:pPr>
      <w:r>
        <w:rPr>
          <w:rFonts w:hint="eastAsia" w:ascii="宋体" w:hAnsi="宋体"/>
          <w:bCs/>
          <w:color w:val="auto"/>
          <w:sz w:val="24"/>
          <w:szCs w:val="21"/>
          <w:highlight w:val="none"/>
        </w:rPr>
        <w:t xml:space="preserve">18.1供应商应当按照《操作手册》规定，在提交响应文件截止时间前</w:t>
      </w:r>
      <w:r>
        <w:rPr>
          <w:rFonts w:ascii="宋体" w:hAnsi="宋体"/>
          <w:bCs/>
          <w:color w:val="auto"/>
          <w:sz w:val="24"/>
          <w:szCs w:val="21"/>
          <w:highlight w:val="none"/>
        </w:rPr>
        <w:t xml:space="preserve">制作</w:t>
      </w:r>
      <w:r>
        <w:rPr>
          <w:rFonts w:hint="eastAsia" w:ascii="宋体" w:hAnsi="宋体"/>
          <w:bCs/>
          <w:color w:val="auto"/>
          <w:sz w:val="24"/>
          <w:szCs w:val="21"/>
          <w:highlight w:val="none"/>
        </w:rPr>
        <w:t xml:space="preserve">并上传电子响应文件。</w:t>
      </w:r>
      <w:bookmarkStart w:id="128" w:name="_Toc513029226"/>
      <w:r/>
      <w:bookmarkStart w:id="129" w:name="_Toc16938542"/>
      <w:r/>
      <w:bookmarkStart w:id="130" w:name="_Toc20823298"/>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19、提交响应文件截止时间</w:t>
      </w:r>
      <w:bookmarkEnd w:id="128"/>
      <w:r/>
      <w:bookmarkEnd w:id="129"/>
      <w:r/>
      <w:bookmarkEnd w:id="130"/>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.1供应商上传电子响应文件的时间不得迟于磋商公告中规定的提交响应文件截止时间。</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hint="eastAsia" w:ascii="宋体" w:hAnsi="宋体"/>
          <w:bCs/>
          <w:color w:val="auto"/>
          <w:sz w:val="24"/>
          <w:szCs w:val="21"/>
          <w:highlight w:val="none"/>
        </w:rPr>
      </w:pPr>
      <w:r>
        <w:rPr>
          <w:rFonts w:ascii="宋体" w:hAnsi="宋体"/>
          <w:bCs/>
          <w:color w:val="auto"/>
          <w:sz w:val="24"/>
          <w:szCs w:val="21"/>
          <w:highlight w:val="none"/>
        </w:rPr>
        <w:t xml:space="preserve">19</w:t>
      </w:r>
      <w:r>
        <w:rPr>
          <w:rFonts w:hint="eastAsia" w:ascii="宋体" w:hAnsi="宋体"/>
          <w:bCs/>
          <w:color w:val="auto"/>
          <w:sz w:val="24"/>
          <w:szCs w:val="21"/>
          <w:highlight w:val="none"/>
        </w:rPr>
        <w:t xml:space="preserve">.2 采购人或代理机构可以按照规定，通过修改磋商文件酌情延长提交响应文件截止日期，在此情况下，供应商的所有权利和义务以及供应商受制的截止日期均应以延长后新的截止日期为准。</w:t>
      </w:r>
      <w:r/>
    </w:p>
    <w:p>
      <w:pPr>
        <w:ind w:firstLine="420"/>
        <w:keepLines/>
        <w:keepNext/>
        <w:spacing w:line="360" w:lineRule="auto"/>
        <w:rPr>
          <w:rFonts w:hint="eastAsia" w:ascii="Arial" w:hAnsi="Arial" w:eastAsia="黑体" w:cs="Arial"/>
          <w:color w:val="auto"/>
          <w:sz w:val="28"/>
          <w:szCs w:val="28"/>
          <w:highlight w:val="none"/>
        </w:rPr>
        <w:outlineLvl w:val="3"/>
      </w:pPr>
      <w:r/>
      <w:bookmarkStart w:id="131" w:name="_Toc16938543"/>
      <w:r/>
      <w:bookmarkStart w:id="132" w:name="_Toc20823299"/>
      <w:r/>
      <w:bookmarkStart w:id="133" w:name="_Toc51302922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、响应文件</w:t>
      </w:r>
      <w:bookmarkEnd w:id="131"/>
      <w:r/>
      <w:bookmarkEnd w:id="132"/>
      <w:r/>
      <w:bookmarkEnd w:id="133"/>
      <w:r>
        <w:rPr>
          <w:rFonts w:hint="eastAsia" w:ascii="Arial" w:hAnsi="Arial" w:eastAsia="黑体" w:cs="Arial"/>
          <w:color w:val="auto"/>
          <w:sz w:val="28"/>
          <w:szCs w:val="28"/>
          <w:highlight w:val="none"/>
        </w:rPr>
        <w:t xml:space="preserve">的拒收</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20.1 采购人或代理机构拒绝接收在其规定的提交响应文件截止时间后上传的任何电子响应文件。</w:t>
      </w:r>
      <w:r/>
    </w:p>
    <w:p>
      <w:pPr>
        <w:ind w:firstLine="420"/>
        <w:keepLines/>
        <w:keepNext/>
        <w:spacing w:line="360" w:lineRule="auto"/>
        <w:rPr>
          <w:rFonts w:hint="eastAsia" w:ascii="Arial" w:hAnsi="Arial" w:eastAsia="黑体" w:cs="Arial"/>
          <w:color w:val="auto"/>
          <w:sz w:val="28"/>
          <w:szCs w:val="28"/>
          <w:highlight w:val="none"/>
        </w:rPr>
        <w:outlineLvl w:val="3"/>
      </w:pPr>
      <w:r/>
      <w:bookmarkStart w:id="134" w:name="_Toc20823300"/>
      <w:r/>
      <w:bookmarkStart w:id="135" w:name="_Toc16938544"/>
      <w:r/>
      <w:bookmarkStart w:id="136" w:name="_Toc513029228"/>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、响应文件的撤回和修改</w:t>
      </w:r>
      <w:bookmarkEnd w:id="134"/>
      <w:r/>
      <w:bookmarkEnd w:id="135"/>
      <w:r/>
      <w:bookmarkEnd w:id="136"/>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.1.1 电子响应文件的撤回</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供应商撤回电子响应文件，则认为其不再参与本项目磋商活动。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 响应文件的修改</w:t>
      </w:r>
      <w:r/>
    </w:p>
    <w:p>
      <w:pPr>
        <w:ind w:firstLine="480"/>
        <w:spacing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截止时间前，对其电子响应文件进行修改，具体操作方法见《操作手册》。</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.3</w:t>
      </w:r>
      <w:r>
        <w:rPr>
          <w:rFonts w:hint="eastAsia" w:ascii="宋体" w:hAnsi="宋体"/>
          <w:bCs/>
          <w:color w:val="auto"/>
          <w:sz w:val="24"/>
          <w:szCs w:val="21"/>
          <w:highlight w:val="none"/>
        </w:rPr>
        <w:t xml:space="preserve"> 在提交响应文件截止时间之后，供应商不得对其电子响应文件作任何修改。</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1</w:t>
      </w:r>
      <w:r>
        <w:rPr>
          <w:rFonts w:hint="eastAsia" w:ascii="宋体" w:hAnsi="宋体"/>
          <w:color w:val="auto"/>
          <w:sz w:val="24"/>
          <w:szCs w:val="21"/>
          <w:highlight w:val="none"/>
        </w:rPr>
        <w:t xml:space="preserve">.4</w:t>
      </w:r>
      <w:r>
        <w:rPr>
          <w:rFonts w:hint="eastAsia" w:ascii="宋体" w:hAnsi="宋体"/>
          <w:bCs/>
          <w:color w:val="auto"/>
          <w:sz w:val="24"/>
          <w:szCs w:val="21"/>
          <w:highlight w:val="none"/>
        </w:rPr>
        <w:t xml:space="preserve"> 在提交响应文件截止时间至磋商文件中规定的磋商有效期满之间的这段时间内，供应商不得撤回其响应文件。</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37" w:name="_Toc120614218"/>
      <w:r/>
      <w:bookmarkStart w:id="138" w:name="_Toc16938545"/>
      <w:r/>
      <w:bookmarkStart w:id="139" w:name="_Toc20823301"/>
      <w:r/>
      <w:bookmarkStart w:id="140" w:name="_Toc513029229"/>
      <w:r>
        <w:rPr>
          <w:rFonts w:hint="eastAsia" w:ascii="Times New Roman" w:hAnsi="Times New Roman"/>
          <w:b/>
          <w:bCs/>
          <w:color w:val="auto"/>
          <w:sz w:val="32"/>
          <w:szCs w:val="32"/>
          <w:highlight w:val="none"/>
        </w:rPr>
        <w:t xml:space="preserve">五、响应文件的解密与评审</w:t>
      </w:r>
      <w:bookmarkEnd w:id="137"/>
      <w:r/>
      <w:bookmarkEnd w:id="138"/>
      <w:r/>
      <w:bookmarkEnd w:id="139"/>
      <w:r/>
      <w:bookmarkEnd w:id="140"/>
      <w:r/>
      <w:r/>
    </w:p>
    <w:p>
      <w:pPr>
        <w:ind w:firstLine="420"/>
        <w:keepLines/>
        <w:keepNext/>
        <w:spacing w:line="360" w:lineRule="auto"/>
        <w:rPr>
          <w:rFonts w:hint="eastAsia" w:ascii="Arial" w:hAnsi="Arial" w:eastAsia="黑体" w:cs="Arial"/>
          <w:color w:val="auto"/>
          <w:sz w:val="28"/>
          <w:szCs w:val="28"/>
          <w:highlight w:val="none"/>
        </w:rPr>
        <w:outlineLvl w:val="3"/>
      </w:pPr>
      <w:r/>
      <w:bookmarkStart w:id="141" w:name="_Toc20823302"/>
      <w:r/>
      <w:bookmarkStart w:id="142" w:name="_Toc16938546"/>
      <w:r/>
      <w:bookmarkStart w:id="143" w:name="_Toc513029230"/>
      <w:r>
        <w:rPr>
          <w:rFonts w:hint="eastAsia" w:ascii="Arial" w:hAnsi="Arial" w:eastAsia="黑体" w:cs="Arial"/>
          <w:color w:val="auto"/>
          <w:sz w:val="28"/>
          <w:szCs w:val="28"/>
          <w:highlight w:val="none"/>
        </w:rPr>
        <w:t xml:space="preserve">22、</w:t>
      </w:r>
      <w:bookmarkEnd w:id="141"/>
      <w:r/>
      <w:bookmarkEnd w:id="142"/>
      <w:r/>
      <w:bookmarkEnd w:id="143"/>
      <w:r>
        <w:rPr>
          <w:rFonts w:hint="eastAsia" w:ascii="Arial" w:hAnsi="Arial" w:eastAsia="黑体" w:cs="Arial"/>
          <w:color w:val="auto"/>
          <w:sz w:val="28"/>
          <w:szCs w:val="28"/>
          <w:highlight w:val="none"/>
        </w:rPr>
        <w:t xml:space="preserve">响应文件解密</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2</w:t>
      </w:r>
      <w:r>
        <w:rPr>
          <w:rFonts w:hint="eastAsia" w:ascii="宋体" w:hAnsi="宋体"/>
          <w:bCs/>
          <w:color w:val="auto"/>
          <w:sz w:val="24"/>
          <w:szCs w:val="21"/>
          <w:highlight w:val="none"/>
        </w:rPr>
        <w:t xml:space="preserve">.1供应商应当按照《操作手册》规定，在苏采云系统规定的时间内对磋商响应文件进行解密。</w:t>
      </w:r>
      <w:r/>
    </w:p>
    <w:p>
      <w:pPr>
        <w:ind w:firstLine="420"/>
        <w:keepLines/>
        <w:keepNext/>
        <w:spacing w:line="360" w:lineRule="auto"/>
        <w:rPr>
          <w:rFonts w:hint="eastAsia" w:ascii="Arial" w:hAnsi="Arial" w:eastAsia="黑体" w:cs="Arial"/>
          <w:color w:val="auto"/>
          <w:sz w:val="28"/>
          <w:szCs w:val="28"/>
          <w:highlight w:val="none"/>
        </w:rPr>
        <w:outlineLvl w:val="3"/>
      </w:pPr>
      <w:r/>
      <w:bookmarkStart w:id="144" w:name="_Toc513029231"/>
      <w:r/>
      <w:bookmarkStart w:id="145" w:name="_Toc20823303"/>
      <w:r/>
      <w:bookmarkStart w:id="146" w:name="_Toc16938547"/>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rPr>
        <w:t xml:space="preserve">、磋商小组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.1采购人将组织磋商小组对响应文件进行评审。磋商小组由采购人代表和有关技术、经济等方面的专家组成，且人员构成符合政府采购有关规定。</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3</w:t>
      </w:r>
      <w:r>
        <w:rPr>
          <w:rFonts w:hint="eastAsia" w:ascii="宋体" w:hAnsi="宋体"/>
          <w:bCs/>
          <w:color w:val="auto"/>
          <w:sz w:val="24"/>
          <w:szCs w:val="21"/>
          <w:highlight w:val="none"/>
        </w:rPr>
        <w:t xml:space="preserve">.2磋商小组独立工作，负责评审所有响应文件并确定成交侯选人。</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4</w:t>
      </w:r>
      <w:r>
        <w:rPr>
          <w:rFonts w:hint="eastAsia" w:ascii="Arial" w:hAnsi="Arial" w:eastAsia="黑体" w:cs="Arial"/>
          <w:color w:val="auto"/>
          <w:sz w:val="28"/>
          <w:szCs w:val="28"/>
          <w:highlight w:val="none"/>
        </w:rPr>
        <w:t xml:space="preserve">、评审过程的保密与公正</w:t>
      </w:r>
      <w:bookmarkEnd w:id="144"/>
      <w:r/>
      <w:bookmarkEnd w:id="145"/>
      <w:r/>
      <w:bookmarkEnd w:id="146"/>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磋商小组、采购人和代理机构工作人员、相关监督人员等与评审工作有关的人员，对评审情况以及在评审过程中获悉的国家秘密、商业秘密负有保密责任。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在评审过程中，供应商不得以任何行为影响磋商评审过程，否则其响应文件将被作为无效响应文件。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4</w:t>
      </w:r>
      <w:r>
        <w:rPr>
          <w:rFonts w:hint="eastAsia" w:ascii="宋体" w:hAnsi="宋体"/>
          <w:color w:val="auto"/>
          <w:sz w:val="24"/>
          <w:szCs w:val="21"/>
          <w:highlight w:val="none"/>
        </w:rPr>
        <w:t xml:space="preserve">.3</w:t>
      </w:r>
      <w:r>
        <w:rPr>
          <w:rFonts w:hint="eastAsia" w:ascii="宋体" w:hAnsi="宋体"/>
          <w:color w:val="auto"/>
          <w:sz w:val="24"/>
          <w:szCs w:val="24"/>
          <w:highlight w:val="none"/>
        </w:rPr>
        <w:t xml:space="preserve">在项目评审期间，代理机构将设专门人员与供应商联系。</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.4代理机构和磋商小组不向未成交的供应商解释未成交原因，也不公布评审过程中的相关细节。</w:t>
      </w:r>
      <w:r/>
    </w:p>
    <w:p>
      <w:pPr>
        <w:ind w:firstLine="420"/>
        <w:keepLines/>
        <w:keepNext/>
        <w:spacing w:line="360" w:lineRule="auto"/>
        <w:rPr>
          <w:rFonts w:hint="eastAsia" w:ascii="Arial" w:hAnsi="Arial" w:eastAsia="黑体" w:cs="Arial"/>
          <w:color w:val="auto"/>
          <w:sz w:val="28"/>
          <w:szCs w:val="28"/>
          <w:highlight w:val="none"/>
        </w:rPr>
        <w:outlineLvl w:val="3"/>
      </w:pPr>
      <w:r/>
      <w:bookmarkStart w:id="147" w:name="_Toc20823304"/>
      <w:r/>
      <w:bookmarkStart w:id="148" w:name="_Toc16938548"/>
      <w:r/>
      <w:bookmarkStart w:id="149" w:name="_Toc513029232"/>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5</w:t>
      </w:r>
      <w:r>
        <w:rPr>
          <w:rFonts w:hint="eastAsia" w:ascii="Arial" w:hAnsi="Arial" w:eastAsia="黑体" w:cs="Arial"/>
          <w:color w:val="auto"/>
          <w:sz w:val="28"/>
          <w:szCs w:val="28"/>
          <w:highlight w:val="none"/>
        </w:rPr>
        <w:t xml:space="preserve">、评审过程中的的澄清</w:t>
      </w:r>
      <w:bookmarkEnd w:id="147"/>
      <w:r/>
      <w:bookmarkEnd w:id="148"/>
      <w:r/>
      <w:bookmarkEnd w:id="149"/>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磋商小组并非对每个供应商都作澄清要求。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w:t>
      </w: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.2需要供应商进行澄清、说明和更正的，磋商小组将通过</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向供应商发布“澄清要求函”，接到“澄清要求函”的供应商应当按照要求在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中提交“澄清响应函”并加盖CA电子公章。澄清、说明和更正的内容作为响应文件的补充部分，具体</w:t>
      </w:r>
      <w:r>
        <w:rPr>
          <w:rFonts w:ascii="宋体" w:hAnsi="宋体" w:cs="宋体"/>
          <w:color w:val="auto"/>
          <w:sz w:val="24"/>
          <w:szCs w:val="24"/>
          <w:highlight w:val="none"/>
        </w:rPr>
        <w:t xml:space="preserve">操作</w:t>
      </w:r>
      <w:r>
        <w:rPr>
          <w:rFonts w:hint="eastAsia" w:ascii="宋体" w:hAnsi="宋体" w:cs="宋体"/>
          <w:color w:val="auto"/>
          <w:sz w:val="24"/>
          <w:szCs w:val="24"/>
          <w:highlight w:val="none"/>
        </w:rPr>
        <w:t xml:space="preserve">方式</w:t>
      </w:r>
      <w:r>
        <w:rPr>
          <w:rFonts w:ascii="宋体" w:hAnsi="宋体" w:cs="宋体"/>
          <w:color w:val="auto"/>
          <w:sz w:val="24"/>
          <w:szCs w:val="24"/>
          <w:highlight w:val="none"/>
        </w:rPr>
        <w:t xml:space="preserve">见</w:t>
      </w:r>
      <w:r>
        <w:rPr>
          <w:rFonts w:hint="eastAsia" w:ascii="宋体" w:hAnsi="宋体" w:cs="宋体"/>
          <w:color w:val="auto"/>
          <w:sz w:val="24"/>
          <w:szCs w:val="24"/>
          <w:highlight w:val="none"/>
        </w:rPr>
        <w:t xml:space="preserve">《操作手册》。</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 接到磋商小组澄清、说明和更正要求的供应商如未按规定做出澄清、说明和更正，其风险由供应商自行承担。</w:t>
      </w:r>
      <w:r/>
    </w:p>
    <w:p>
      <w:pPr>
        <w:ind w:firstLine="420"/>
        <w:keepLines/>
        <w:keepNext/>
        <w:spacing w:line="360" w:lineRule="auto"/>
        <w:rPr>
          <w:rFonts w:hint="eastAsia" w:ascii="Arial" w:hAnsi="Arial" w:eastAsia="黑体" w:cs="Arial"/>
          <w:color w:val="auto"/>
          <w:sz w:val="28"/>
          <w:szCs w:val="28"/>
          <w:highlight w:val="none"/>
        </w:rPr>
        <w:outlineLvl w:val="3"/>
      </w:pPr>
      <w:r/>
      <w:bookmarkStart w:id="150" w:name="_Toc16938549"/>
      <w:r/>
      <w:bookmarkStart w:id="151" w:name="_Toc20823305"/>
      <w:r/>
      <w:bookmarkStart w:id="152" w:name="_Toc513029233"/>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6</w:t>
      </w:r>
      <w:r>
        <w:rPr>
          <w:rFonts w:hint="eastAsia" w:ascii="Arial" w:hAnsi="Arial" w:eastAsia="黑体" w:cs="Arial"/>
          <w:color w:val="auto"/>
          <w:sz w:val="28"/>
          <w:szCs w:val="28"/>
          <w:highlight w:val="none"/>
        </w:rPr>
        <w:t xml:space="preserve">、对响应文件的审</w:t>
      </w:r>
      <w:bookmarkEnd w:id="150"/>
      <w:r/>
      <w:bookmarkEnd w:id="151"/>
      <w:r/>
      <w:bookmarkEnd w:id="152"/>
      <w:r>
        <w:rPr>
          <w:rFonts w:hint="eastAsia" w:ascii="Arial" w:hAnsi="Arial" w:eastAsia="黑体" w:cs="Arial"/>
          <w:color w:val="auto"/>
          <w:sz w:val="28"/>
          <w:szCs w:val="28"/>
          <w:highlight w:val="none"/>
        </w:rPr>
        <w:t xml:space="preserve">查</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.1</w:t>
      </w:r>
      <w:r>
        <w:rPr>
          <w:rFonts w:hint="eastAsia" w:ascii="宋体" w:hAnsi="宋体"/>
          <w:bCs/>
          <w:color w:val="auto"/>
          <w:sz w:val="24"/>
          <w:szCs w:val="21"/>
          <w:highlight w:val="none"/>
        </w:rPr>
        <w:t xml:space="preserve">响应文件审查分为资格审查和符合性审查。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.1.1 资格审查：由磋商小组依据法律法规和磋商文件的规定，对响应文件中的资格证明文件进行审查，以确定供应商是否具备参加磋商的资格。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6</w:t>
      </w:r>
      <w:r>
        <w:rPr>
          <w:rFonts w:hint="eastAsia" w:ascii="宋体" w:hAnsi="宋体"/>
          <w:bCs/>
          <w:color w:val="auto"/>
          <w:sz w:val="24"/>
          <w:szCs w:val="21"/>
          <w:highlight w:val="none"/>
        </w:rPr>
        <w:t xml:space="preserve">.1.3 未通过资格审查或符合性审查的供应商，磋商小组将在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.2</w:t>
      </w:r>
      <w:r>
        <w:rPr>
          <w:rFonts w:hint="eastAsia" w:ascii="宋体" w:hAnsi="宋体"/>
          <w:color w:val="auto"/>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26.3未实质性响应磋商文件的情形</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26.3.1供应商在</w:t>
      </w:r>
      <w:r>
        <w:rPr>
          <w:rFonts w:hint="eastAsia" w:ascii="宋体" w:hAnsi="宋体"/>
          <w:color w:val="auto"/>
          <w:sz w:val="24"/>
          <w:szCs w:val="24"/>
          <w:highlight w:val="none"/>
        </w:rPr>
        <w:t xml:space="preserve">苏采云系统</w:t>
      </w:r>
      <w:r>
        <w:rPr>
          <w:rFonts w:hint="eastAsia" w:ascii="宋体" w:hAnsi="宋体"/>
          <w:bCs/>
          <w:color w:val="auto"/>
          <w:sz w:val="24"/>
          <w:szCs w:val="21"/>
          <w:highlight w:val="none"/>
        </w:rPr>
        <w:t xml:space="preserve">规定的时间内未成功解密电子响应文件的。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26.3.2供应商未按照磋商文件要求上传电子响应文件的。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26.3.3同一供应商提交两个（含两个）以上不同的响应文件或者最后报价的。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26.3.4供应商不具备磋商文件中规定资格要求的。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26.3.5供应商的最后报价超过了采购预算。</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26.3.6不符合磋商文件中规定的实质性要求和条件的。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26.3.8响应文件含有采购人不能接受的附加条件的。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26.3.10响应文件未按照磋商文件要求加盖CA电子公章的。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26.4未实质性响应磋商文件的响应文件按无效响应处理。</w:t>
      </w:r>
      <w:r/>
    </w:p>
    <w:p>
      <w:pPr>
        <w:ind w:firstLine="480"/>
        <w:spacing w:line="360" w:lineRule="auto"/>
        <w:rPr>
          <w:rFonts w:hint="eastAsia" w:ascii="宋体" w:hAnsi="宋体"/>
          <w:bCs/>
          <w:color w:val="auto"/>
          <w:sz w:val="24"/>
          <w:szCs w:val="21"/>
          <w:highlight w:val="none"/>
        </w:rPr>
      </w:pPr>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.5</w:t>
      </w:r>
      <w:r>
        <w:rPr>
          <w:rFonts w:hint="eastAsia" w:ascii="宋体" w:hAnsi="宋体"/>
          <w:bCs/>
          <w:color w:val="auto"/>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ind w:firstLine="480"/>
        <w:spacing w:line="360" w:lineRule="auto"/>
        <w:rPr>
          <w:rFonts w:hint="eastAsia" w:ascii="宋体" w:hAnsi="宋体"/>
          <w:color w:val="auto"/>
          <w:sz w:val="24"/>
          <w:szCs w:val="21"/>
          <w:highlight w:val="none"/>
        </w:rPr>
      </w:pPr>
      <w:r/>
      <w:bookmarkStart w:id="153" w:name="_Toc16938550"/>
      <w:r/>
      <w:bookmarkStart w:id="154" w:name="_Toc513029234"/>
      <w:r/>
      <w:bookmarkStart w:id="155" w:name="_Toc20823306"/>
      <w:r>
        <w:rPr>
          <w:rFonts w:hint="eastAsia" w:ascii="宋体" w:hAnsi="宋体"/>
          <w:color w:val="auto"/>
          <w:sz w:val="24"/>
          <w:szCs w:val="21"/>
          <w:highlight w:val="none"/>
        </w:rPr>
        <w:t xml:space="preserve">2</w:t>
      </w:r>
      <w:r>
        <w:rPr>
          <w:rFonts w:ascii="宋体" w:hAnsi="宋体"/>
          <w:color w:val="auto"/>
          <w:sz w:val="24"/>
          <w:szCs w:val="21"/>
          <w:highlight w:val="none"/>
        </w:rPr>
        <w:t xml:space="preserve">6</w:t>
      </w:r>
      <w:r>
        <w:rPr>
          <w:rFonts w:hint="eastAsia" w:ascii="宋体" w:hAnsi="宋体"/>
          <w:color w:val="auto"/>
          <w:sz w:val="24"/>
          <w:szCs w:val="21"/>
          <w:highlight w:val="none"/>
        </w:rPr>
        <w:t xml:space="preserve">.6供应商在项目评审全过程中应保持通讯畅通，并安排专人与代理机构及磋商小组联系。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7</w:t>
      </w:r>
      <w:r>
        <w:rPr>
          <w:rFonts w:hint="eastAsia" w:ascii="Arial" w:hAnsi="Arial" w:eastAsia="黑体" w:cs="Arial"/>
          <w:color w:val="auto"/>
          <w:sz w:val="28"/>
          <w:szCs w:val="28"/>
          <w:highlight w:val="none"/>
        </w:rPr>
        <w:t xml:space="preserve">、</w:t>
      </w:r>
      <w:bookmarkEnd w:id="153"/>
      <w:r/>
      <w:bookmarkEnd w:id="154"/>
      <w:r/>
      <w:bookmarkEnd w:id="155"/>
      <w:r>
        <w:rPr>
          <w:rFonts w:hint="eastAsia" w:ascii="Arial" w:hAnsi="Arial" w:eastAsia="黑体" w:cs="Arial"/>
          <w:color w:val="auto"/>
          <w:sz w:val="28"/>
          <w:szCs w:val="28"/>
          <w:highlight w:val="none"/>
        </w:rPr>
        <w:t xml:space="preserve">磋商程序及评审方法和评审标准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27.1磋商程序</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 27.1.2</w:t>
      </w:r>
      <w:r>
        <w:rPr>
          <w:rFonts w:ascii="宋体" w:hAnsi="宋体"/>
          <w:color w:val="auto"/>
          <w:sz w:val="24"/>
          <w:szCs w:val="24"/>
          <w:highlight w:val="none"/>
        </w:rPr>
        <w:t xml:space="preserve">磋商文件能够详细列明采购标的的技术、服务要求的，磋商结束后，磋商小组</w:t>
      </w:r>
      <w:r>
        <w:rPr>
          <w:rFonts w:hint="eastAsia" w:ascii="宋体" w:hAnsi="宋体"/>
          <w:color w:val="auto"/>
          <w:sz w:val="24"/>
          <w:szCs w:val="24"/>
          <w:highlight w:val="none"/>
        </w:rPr>
        <w:t xml:space="preserve">将在苏采云系统向所有</w:t>
      </w:r>
      <w:r>
        <w:rPr>
          <w:rFonts w:ascii="宋体" w:hAnsi="宋体"/>
          <w:color w:val="auto"/>
          <w:sz w:val="24"/>
          <w:szCs w:val="24"/>
          <w:highlight w:val="none"/>
        </w:rPr>
        <w:t xml:space="preserve">实质性响应的供应商</w:t>
      </w:r>
      <w:r>
        <w:rPr>
          <w:rFonts w:hint="eastAsia" w:ascii="宋体" w:hAnsi="宋体"/>
          <w:color w:val="auto"/>
          <w:sz w:val="24"/>
          <w:szCs w:val="24"/>
          <w:highlight w:val="none"/>
        </w:rPr>
        <w:t xml:space="preserve">发布“最后报价要求函”及最后报价格式表，</w:t>
      </w:r>
      <w:r>
        <w:rPr>
          <w:rFonts w:ascii="宋体" w:hAnsi="宋体"/>
          <w:color w:val="auto"/>
          <w:sz w:val="24"/>
          <w:szCs w:val="24"/>
          <w:highlight w:val="none"/>
        </w:rPr>
        <w:t xml:space="preserve">要求所有实质性响应的供应商在规定时间内提交最后报价。</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auto"/>
          <w:sz w:val="24"/>
          <w:szCs w:val="24"/>
          <w:highlight w:val="none"/>
        </w:rPr>
        <w:t xml:space="preserve">已提交响应文件的供应商，在提交最后报价之前，可以根据磋商情况退出磋商</w:t>
      </w:r>
      <w:r>
        <w:rPr>
          <w:rFonts w:hint="eastAsia" w:ascii="宋体" w:hAnsi="宋体"/>
          <w:color w:val="auto"/>
          <w:sz w:val="24"/>
          <w:szCs w:val="24"/>
          <w:highlight w:val="none"/>
        </w:rPr>
        <w:t xml:space="preserve">，并在苏采云系统中提交“退出磋商函”并加盖CA电子公章</w:t>
      </w:r>
      <w:r>
        <w:rPr>
          <w:rFonts w:ascii="宋体" w:hAnsi="宋体"/>
          <w:color w:val="auto"/>
          <w:sz w:val="24"/>
          <w:szCs w:val="24"/>
          <w:highlight w:val="none"/>
        </w:rPr>
        <w:t xml:space="preserve">。</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 评审方法和评审标准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27.2.2评审标准</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见本磋商文件第五章规定。</w:t>
      </w:r>
      <w:r/>
    </w:p>
    <w:p>
      <w:pPr>
        <w:ind w:firstLine="478"/>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27.3采购活动终止的情况</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出现下列情形之一的，本次竞争性磋商采购活动将被终止：</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27.3.1因情况变化，不再符合规定的竞争性磋商采购方式适用情形的。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27.3.2出现影响采购公正的违法、违规行为的。</w:t>
      </w:r>
      <w:r/>
    </w:p>
    <w:p>
      <w:pPr>
        <w:ind w:firstLine="360"/>
        <w:spacing w:after="156" w:line="360" w:lineRule="auto"/>
        <w:tabs>
          <w:tab w:val="left" w:pos="90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27.3.3除本磋商文件第二章第27.1.2条第三款规定的情形外，在采购过程中符合要求的供应商或者最后报价未超过采购预算的供应商不足3家的。</w:t>
      </w:r>
      <w:r/>
    </w:p>
    <w:p>
      <w:pPr>
        <w:ind w:firstLine="360"/>
        <w:spacing w:after="156" w:line="360" w:lineRule="auto"/>
        <w:tabs>
          <w:tab w:val="left" w:pos="9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27.3.4在</w:t>
      </w:r>
      <w:r>
        <w:rPr>
          <w:rFonts w:hint="eastAsia" w:ascii="宋体" w:hAnsi="宋体"/>
          <w:color w:val="auto"/>
          <w:sz w:val="24"/>
          <w:szCs w:val="24"/>
          <w:highlight w:val="none"/>
        </w:rPr>
        <w:t xml:space="preserve">苏采云系统</w:t>
      </w:r>
      <w:r>
        <w:rPr>
          <w:rFonts w:hint="eastAsia" w:ascii="宋体" w:hAnsi="宋体" w:cs="宋体"/>
          <w:color w:val="auto"/>
          <w:sz w:val="24"/>
          <w:szCs w:val="24"/>
          <w:highlight w:val="none"/>
        </w:rPr>
        <w:t xml:space="preserve">规定时间内成功解密电子响应文件的供应商不足3家的。</w:t>
      </w:r>
      <w:r/>
    </w:p>
    <w:p>
      <w:pPr>
        <w:ind w:firstLine="482"/>
        <w:keepLines/>
        <w:keepNext/>
        <w:spacing w:before="156" w:after="156" w:line="360" w:lineRule="auto"/>
        <w:rPr>
          <w:rFonts w:hint="eastAsia" w:ascii="Times New Roman" w:hAnsi="Times New Roman"/>
          <w:b/>
          <w:bCs/>
          <w:color w:val="auto"/>
          <w:sz w:val="32"/>
          <w:szCs w:val="32"/>
          <w:highlight w:val="none"/>
        </w:rPr>
        <w:outlineLvl w:val="2"/>
      </w:pPr>
      <w:r/>
      <w:bookmarkStart w:id="156" w:name="_Toc16938551"/>
      <w:r/>
      <w:bookmarkStart w:id="157" w:name="_Toc20823307"/>
      <w:r/>
      <w:bookmarkStart w:id="158" w:name="_Toc513029235"/>
      <w:r/>
      <w:bookmarkStart w:id="159" w:name="_Toc120614219"/>
      <w:r>
        <w:rPr>
          <w:rFonts w:hint="eastAsia" w:ascii="Times New Roman" w:hAnsi="Times New Roman"/>
          <w:b/>
          <w:bCs/>
          <w:color w:val="auto"/>
          <w:sz w:val="32"/>
          <w:szCs w:val="32"/>
          <w:highlight w:val="none"/>
        </w:rPr>
        <w:t xml:space="preserve">六、</w:t>
      </w:r>
      <w:bookmarkEnd w:id="156"/>
      <w:r/>
      <w:bookmarkEnd w:id="157"/>
      <w:r/>
      <w:bookmarkEnd w:id="158"/>
      <w:r/>
      <w:bookmarkEnd w:id="159"/>
      <w:r>
        <w:rPr>
          <w:rFonts w:hint="eastAsia" w:ascii="Times New Roman" w:hAnsi="Times New Roman"/>
          <w:b/>
          <w:bCs/>
          <w:color w:val="auto"/>
          <w:sz w:val="32"/>
          <w:szCs w:val="32"/>
          <w:highlight w:val="none"/>
        </w:rPr>
        <w:t xml:space="preserve">成交</w:t>
      </w:r>
      <w:r/>
    </w:p>
    <w:p>
      <w:pPr>
        <w:ind w:firstLine="420"/>
        <w:keepLines/>
        <w:keepNext/>
        <w:spacing w:line="360" w:lineRule="auto"/>
        <w:rPr>
          <w:rFonts w:hint="eastAsia" w:ascii="Arial" w:hAnsi="Arial" w:eastAsia="黑体" w:cs="Arial"/>
          <w:color w:val="auto"/>
          <w:sz w:val="28"/>
          <w:szCs w:val="28"/>
          <w:highlight w:val="none"/>
        </w:rPr>
        <w:outlineLvl w:val="3"/>
      </w:pPr>
      <w:r/>
      <w:bookmarkStart w:id="160" w:name="_Toc513029238"/>
      <w:r/>
      <w:bookmarkStart w:id="161" w:name="_Toc16938554"/>
      <w:r/>
      <w:bookmarkStart w:id="162" w:name="_Toc20823310"/>
      <w:r>
        <w:rPr>
          <w:rFonts w:hint="eastAsia" w:ascii="Arial" w:hAnsi="Arial" w:eastAsia="黑体" w:cs="Arial"/>
          <w:color w:val="auto"/>
          <w:sz w:val="28"/>
          <w:szCs w:val="28"/>
          <w:highlight w:val="none"/>
        </w:rPr>
        <w:t xml:space="preserve">2</w:t>
      </w:r>
      <w:r>
        <w:rPr>
          <w:rFonts w:ascii="Arial" w:hAnsi="Arial" w:eastAsia="黑体" w:cs="Arial"/>
          <w:color w:val="auto"/>
          <w:sz w:val="28"/>
          <w:szCs w:val="28"/>
          <w:highlight w:val="none"/>
        </w:rPr>
        <w:t xml:space="preserve">8</w:t>
      </w:r>
      <w:r>
        <w:rPr>
          <w:rFonts w:hint="eastAsia" w:ascii="Arial" w:hAnsi="Arial" w:eastAsia="黑体" w:cs="Arial"/>
          <w:color w:val="auto"/>
          <w:sz w:val="28"/>
          <w:szCs w:val="28"/>
          <w:highlight w:val="none"/>
        </w:rPr>
        <w:t xml:space="preserve">、</w:t>
      </w:r>
      <w:bookmarkEnd w:id="160"/>
      <w:r>
        <w:rPr>
          <w:rFonts w:hint="eastAsia" w:ascii="Arial" w:hAnsi="Arial" w:eastAsia="黑体" w:cs="Arial"/>
          <w:color w:val="auto"/>
          <w:sz w:val="28"/>
          <w:szCs w:val="28"/>
          <w:highlight w:val="none"/>
        </w:rPr>
        <w:t xml:space="preserve">确定</w:t>
      </w:r>
      <w:bookmarkEnd w:id="161"/>
      <w:r/>
      <w:bookmarkEnd w:id="162"/>
      <w:r>
        <w:rPr>
          <w:rFonts w:hint="eastAsia" w:ascii="Arial" w:hAnsi="Arial" w:eastAsia="黑体" w:cs="Arial"/>
          <w:color w:val="auto"/>
          <w:sz w:val="28"/>
          <w:szCs w:val="28"/>
          <w:highlight w:val="none"/>
        </w:rPr>
        <w:t xml:space="preserve">成交单位</w:t>
      </w:r>
      <w:r/>
    </w:p>
    <w:p>
      <w:pPr>
        <w:ind w:firstLine="478"/>
        <w:spacing w:after="156" w:line="360" w:lineRule="auto"/>
        <w:tabs>
          <w:tab w:val="left" w:pos="900" w:leader="none"/>
        </w:tabs>
        <w:rPr>
          <w:rFonts w:hint="eastAsia" w:ascii="宋体" w:hAnsi="宋体"/>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.1</w:t>
      </w:r>
      <w:r>
        <w:rPr>
          <w:rFonts w:hint="eastAsia" w:ascii="宋体" w:hAnsi="宋体"/>
          <w:color w:val="auto"/>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w:t>
      </w:r>
      <w:r>
        <w:rPr>
          <w:rFonts w:ascii="宋体" w:hAnsi="宋体"/>
          <w:bCs/>
          <w:color w:val="auto"/>
          <w:sz w:val="24"/>
          <w:szCs w:val="21"/>
          <w:highlight w:val="none"/>
        </w:rPr>
        <w:t xml:space="preserve">8</w:t>
      </w:r>
      <w:r>
        <w:rPr>
          <w:rFonts w:hint="eastAsia" w:ascii="宋体" w:hAnsi="宋体"/>
          <w:bCs/>
          <w:color w:val="auto"/>
          <w:sz w:val="24"/>
          <w:szCs w:val="21"/>
          <w:highlight w:val="none"/>
        </w:rPr>
        <w:t xml:space="preserve">.2采购人从评审报告提出的成交候选供应商中，按照排序由高到低的原则确定成交供应商。采购人确定成交供应商后，采购人将在“江苏政府采购网”发布成交结果公告，公告期限为1个工作日。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28.3若有充分证据证明，成交供应商出现下列情况之一的，一经查实，将被取消成交资格：</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28.3.1提供虚假材料谋取成交的。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28.3.2与评审专家、采购人、其他供应商或者代理机构工作人员恶意串通的。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28.3.3向评审专家、采购人或代理机构工作人员行贿或者提供其他不正当利益的。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28.3.4恶意竞争，最后报价明显低于其自身合理成本且又无法提供证明的。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28.3.5不满足本磋商文件规定的实质性要求，但在评审过程中又未被磋商小组发现的。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28.3.6成交后无正当理由拒不与采购人签订政府采购合同或者未按照磋商文件确定的事项签订政府采购合同的。</w:t>
      </w:r>
      <w:r/>
    </w:p>
    <w:p>
      <w:pPr>
        <w:ind w:firstLine="480"/>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28.3.7将政府采购合同转包的。</w:t>
      </w:r>
      <w:r/>
    </w:p>
    <w:p>
      <w:pPr>
        <w:ind w:firstLine="420"/>
        <w:keepLines/>
        <w:keepNext/>
        <w:spacing w:line="360" w:lineRule="auto"/>
        <w:rPr>
          <w:rFonts w:hint="eastAsia" w:ascii="Arial" w:hAnsi="Arial" w:eastAsia="黑体" w:cs="Arial"/>
          <w:color w:val="auto"/>
          <w:sz w:val="28"/>
          <w:szCs w:val="28"/>
          <w:highlight w:val="none"/>
        </w:rPr>
        <w:outlineLvl w:val="3"/>
      </w:pPr>
      <w:r/>
      <w:bookmarkStart w:id="163" w:name="_Toc200451960"/>
      <w:r>
        <w:rPr>
          <w:rFonts w:ascii="Arial" w:hAnsi="Arial" w:eastAsia="黑体" w:cs="Arial"/>
          <w:color w:val="auto"/>
          <w:sz w:val="28"/>
          <w:szCs w:val="28"/>
          <w:highlight w:val="none"/>
        </w:rPr>
        <w:t xml:space="preserve">29</w:t>
      </w:r>
      <w:r>
        <w:rPr>
          <w:rFonts w:hint="eastAsia" w:ascii="Arial" w:hAnsi="Arial" w:eastAsia="黑体" w:cs="Arial"/>
          <w:color w:val="auto"/>
          <w:sz w:val="28"/>
          <w:szCs w:val="28"/>
          <w:highlight w:val="none"/>
        </w:rPr>
        <w:t xml:space="preserve">、质疑处理</w:t>
      </w:r>
      <w:bookmarkEnd w:id="163"/>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.1 提出质疑的供应商应当是参与所质疑项目采购活动的供应商。潜在供应商依法获取其可质疑的采购文件的，可以对采购文件提出质疑。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360" w:lineRule="auto"/>
        <w:rPr>
          <w:rFonts w:hint="eastAsia" w:ascii="Times New Roman" w:hAnsi="宋体" w:cs="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.2.1</w:t>
      </w:r>
      <w:r>
        <w:rPr>
          <w:rFonts w:ascii="Times New Roman" w:hAnsi="宋体" w:cs="宋体"/>
          <w:color w:val="auto"/>
          <w:sz w:val="24"/>
          <w:szCs w:val="24"/>
          <w:highlight w:val="none"/>
        </w:rPr>
        <w:t xml:space="preserve">对可以质疑的采购文件提出质疑的，为收到采购文件之日或者采购文件公告期限届满之日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.2.2</w:t>
      </w:r>
      <w:r>
        <w:rPr>
          <w:rFonts w:ascii="Times New Roman" w:hAnsi="宋体" w:cs="宋体"/>
          <w:color w:val="auto"/>
          <w:sz w:val="24"/>
          <w:szCs w:val="24"/>
          <w:highlight w:val="none"/>
        </w:rPr>
        <w:t xml:space="preserve">对采购过程提出质疑的，为各采购程序环节结束之日</w:t>
      </w:r>
      <w:r>
        <w:rPr>
          <w:rFonts w:hint="eastAsia" w:ascii="Times New Roman" w:hAnsi="宋体" w:cs="宋体"/>
          <w:color w:val="auto"/>
          <w:sz w:val="24"/>
          <w:szCs w:val="24"/>
          <w:highlight w:val="none"/>
        </w:rPr>
        <w:t xml:space="preserve">。</w:t>
      </w:r>
      <w:r>
        <w:rPr>
          <w:rFonts w:ascii="Times New Roman" w:hAnsi="宋体" w:cs="宋体"/>
          <w:color w:val="auto"/>
          <w:sz w:val="24"/>
          <w:szCs w:val="24"/>
          <w:highlight w:val="none"/>
        </w:rPr>
        <w:br w:type="textWrapping" w:clear="all"/>
      </w:r>
      <w:r>
        <w:rPr>
          <w:rFonts w:ascii="Times New Roman" w:hAnsi="宋体" w:cs="宋体"/>
          <w:color w:val="auto"/>
          <w:sz w:val="24"/>
          <w:szCs w:val="24"/>
          <w:highlight w:val="none"/>
        </w:rPr>
        <w:t xml:space="preserve">　　</w:t>
      </w:r>
      <w:r>
        <w:rPr>
          <w:rFonts w:ascii="宋体" w:hAnsi="宋体"/>
          <w:color w:val="auto"/>
          <w:sz w:val="24"/>
          <w:szCs w:val="24"/>
          <w:highlight w:val="none"/>
        </w:rPr>
        <w:t xml:space="preserve">29</w:t>
      </w:r>
      <w:r>
        <w:rPr>
          <w:rFonts w:hint="eastAsia" w:ascii="宋体" w:hAnsi="宋体"/>
          <w:color w:val="auto"/>
          <w:sz w:val="24"/>
          <w:szCs w:val="24"/>
          <w:highlight w:val="none"/>
        </w:rPr>
        <w:t xml:space="preserve">.2.3</w:t>
      </w:r>
      <w:r>
        <w:rPr>
          <w:rFonts w:ascii="Times New Roman" w:hAnsi="宋体" w:cs="宋体"/>
          <w:color w:val="auto"/>
          <w:sz w:val="24"/>
          <w:szCs w:val="24"/>
          <w:highlight w:val="none"/>
        </w:rPr>
        <w:t xml:space="preserve">对成交结果提出质疑的，为成交结果公告期限届满之日。</w:t>
      </w:r>
      <w:r/>
    </w:p>
    <w:p>
      <w:pPr>
        <w:ind w:firstLine="480"/>
        <w:spacing w:line="360" w:lineRule="auto"/>
        <w:rPr>
          <w:rFonts w:hint="eastAsia" w:ascii="Times New Roman" w:hAnsi="宋体" w:cs="宋体"/>
          <w:color w:val="auto"/>
          <w:sz w:val="24"/>
          <w:szCs w:val="24"/>
          <w:highlight w:val="none"/>
        </w:rPr>
      </w:pPr>
      <w:r>
        <w:rPr>
          <w:rFonts w:hint="eastAsia" w:ascii="Times New Roman" w:hAnsi="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w:t>
      </w:r>
      <w:r>
        <w:rPr>
          <w:rFonts w:ascii="Times New Roman" w:hAnsi="宋体" w:cs="宋体"/>
          <w:color w:val="auto"/>
          <w:sz w:val="24"/>
          <w:szCs w:val="24"/>
          <w:highlight w:val="none"/>
        </w:rPr>
        <w:t xml:space="preserve">采购人</w:t>
      </w:r>
      <w:r>
        <w:rPr>
          <w:rFonts w:hint="eastAsia" w:ascii="Times New Roman" w:hAnsi="宋体" w:cs="宋体"/>
          <w:color w:val="auto"/>
          <w:sz w:val="24"/>
          <w:szCs w:val="24"/>
          <w:highlight w:val="none"/>
        </w:rPr>
        <w:t xml:space="preserve">将只对供应商第一次质疑作出答复。</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b/>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.4 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请向采购人提出，由采购人负责答复。</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采购人及代理机构只接收以纸质原件形式送达的质疑,建议供应商尽量通过邮寄方式提交质疑（采购人和代理机构不接受未填写快递运单的快件）。</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采购人质疑接收人及联系方式见本磋商文件第一章。</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 以下情形的质疑不予受理</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.5.1 内容不符合《政府采购质疑和投诉办法》第十二条规定的质疑。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.5.2 超出政府采购法定期限的质疑。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.5.3 以传真、电子邮件等方式递交的非原件形式的质疑。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.5.4 未参加磋商活动的供应商或在磋商活动中自身权益未受到损害的供应商所提出的质疑。</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.5.5供应商组成联合体参加磋商，联合体中任何一方或多方未按要求签字、盖章、加盖公章的质疑。</w:t>
      </w:r>
      <w:r/>
    </w:p>
    <w:p>
      <w:pPr>
        <w:ind w:firstLine="468"/>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29</w:t>
      </w:r>
      <w:r>
        <w:rPr>
          <w:rFonts w:hint="eastAsia" w:ascii="宋体" w:hAnsi="宋体"/>
          <w:color w:val="auto"/>
          <w:sz w:val="24"/>
          <w:szCs w:val="24"/>
          <w:highlight w:val="none"/>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0</w:t>
      </w:r>
      <w:r>
        <w:rPr>
          <w:rFonts w:hint="eastAsia" w:ascii="Arial" w:hAnsi="Arial" w:eastAsia="黑体" w:cs="Arial"/>
          <w:color w:val="auto"/>
          <w:sz w:val="28"/>
          <w:szCs w:val="28"/>
          <w:highlight w:val="none"/>
        </w:rPr>
        <w:t xml:space="preserve">、成交通知书</w:t>
      </w:r>
      <w:r/>
    </w:p>
    <w:p>
      <w:pPr>
        <w:ind w:firstLine="48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0</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0</w:t>
      </w:r>
      <w:r>
        <w:rPr>
          <w:rFonts w:hint="eastAsia" w:ascii="宋体" w:hAnsi="宋体"/>
          <w:color w:val="auto"/>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before="156" w:after="156" w:line="360" w:lineRule="auto"/>
        <w:rPr>
          <w:rFonts w:hint="eastAsia" w:ascii="Times New Roman" w:hAnsi="Times New Roman"/>
          <w:b/>
          <w:bCs/>
          <w:color w:val="auto"/>
          <w:sz w:val="32"/>
          <w:szCs w:val="32"/>
          <w:highlight w:val="none"/>
        </w:rPr>
        <w:outlineLvl w:val="2"/>
      </w:pPr>
      <w:r/>
      <w:bookmarkStart w:id="164" w:name="_Toc120614220"/>
      <w:r/>
      <w:bookmarkStart w:id="165" w:name="_Toc513029236"/>
      <w:r/>
      <w:bookmarkStart w:id="166" w:name="_Toc16938552"/>
      <w:r/>
      <w:bookmarkStart w:id="167" w:name="_Toc20823308"/>
      <w:r>
        <w:rPr>
          <w:rFonts w:hint="eastAsia" w:ascii="Times New Roman" w:hAnsi="Times New Roman"/>
          <w:b/>
          <w:bCs/>
          <w:color w:val="auto"/>
          <w:sz w:val="32"/>
          <w:szCs w:val="32"/>
          <w:highlight w:val="none"/>
        </w:rPr>
        <w:t xml:space="preserve">七、授予合同</w:t>
      </w:r>
      <w:bookmarkEnd w:id="164"/>
      <w:r/>
      <w:bookmarkEnd w:id="165"/>
      <w:r/>
      <w:bookmarkEnd w:id="166"/>
      <w:r/>
      <w:bookmarkEnd w:id="167"/>
      <w:r/>
      <w:r/>
    </w:p>
    <w:p>
      <w:pPr>
        <w:ind w:firstLine="420"/>
        <w:keepLines/>
        <w:keepNext/>
        <w:spacing w:line="360" w:lineRule="auto"/>
        <w:rPr>
          <w:rFonts w:hint="eastAsia" w:ascii="Arial" w:hAnsi="Arial" w:eastAsia="黑体" w:cs="Arial"/>
          <w:color w:val="auto"/>
          <w:sz w:val="28"/>
          <w:szCs w:val="28"/>
          <w:highlight w:val="none"/>
        </w:rPr>
        <w:outlineLvl w:val="3"/>
      </w:pPr>
      <w:r/>
      <w:bookmarkStart w:id="168" w:name="_Toc513029237"/>
      <w:r/>
      <w:bookmarkStart w:id="169" w:name="_Toc16938553"/>
      <w:r/>
      <w:bookmarkStart w:id="170" w:name="_Toc20823309"/>
      <w:r>
        <w:rPr>
          <w:rFonts w:hint="eastAsia" w:ascii="Arial" w:hAnsi="Arial" w:eastAsia="黑体" w:cs="Arial"/>
          <w:color w:val="auto"/>
          <w:sz w:val="28"/>
          <w:szCs w:val="28"/>
          <w:highlight w:val="none"/>
        </w:rPr>
        <w:t xml:space="preserve">3</w:t>
      </w:r>
      <w:r>
        <w:rPr>
          <w:rFonts w:ascii="Arial" w:hAnsi="Arial" w:eastAsia="黑体" w:cs="Arial"/>
          <w:color w:val="auto"/>
          <w:sz w:val="28"/>
          <w:szCs w:val="28"/>
          <w:highlight w:val="none"/>
        </w:rPr>
        <w:t xml:space="preserve">1</w:t>
      </w:r>
      <w:r>
        <w:rPr>
          <w:rFonts w:hint="eastAsia" w:ascii="Arial" w:hAnsi="Arial" w:eastAsia="黑体" w:cs="Arial"/>
          <w:color w:val="auto"/>
          <w:sz w:val="28"/>
          <w:szCs w:val="28"/>
          <w:highlight w:val="none"/>
        </w:rPr>
        <w:t xml:space="preserve">、签订合同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.l成交供应商应当在成交通知书发出之日起三十日内，按照磋商文件确定的事项与采购人签订政府采购合同。</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.2磋商文件、成交供应商的响应文件及磋商过程中有关澄清、承诺文件均应作为合同附件。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1</w:t>
      </w:r>
      <w:r>
        <w:rPr>
          <w:rFonts w:hint="eastAsia" w:ascii="宋体" w:hAnsi="宋体"/>
          <w:color w:val="auto"/>
          <w:sz w:val="24"/>
          <w:szCs w:val="24"/>
          <w:highlight w:val="non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32、履约保证金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32.1成交供应商在收到成交通知书后，根据合同内容规定成交供应商缴纳成交价的10%作为履约保证金，履约保证金应当以支票、汇票、本票或者金融机构、担保机构出具的保函等非现金形式提交，逾期视为乙方自动放弃成交资格，甲方有权按照相关程序另行确定成交供应商。</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6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32.3履约保证金的退还：</w:t>
      </w:r>
      <w:r>
        <w:rPr>
          <w:rFonts w:hint="eastAsia" w:ascii="宋体" w:hAnsi="宋体"/>
          <w:color w:val="auto"/>
          <w:sz w:val="24"/>
          <w:szCs w:val="24"/>
          <w:highlight w:val="none"/>
          <w:lang w:val="en-US" w:eastAsia="zh-CN"/>
        </w:rPr>
        <w:t xml:space="preserve">工程</w:t>
      </w:r>
      <w:r>
        <w:rPr>
          <w:rFonts w:hint="eastAsia" w:ascii="宋体" w:hAnsi="宋体"/>
          <w:color w:val="auto"/>
          <w:sz w:val="24"/>
          <w:szCs w:val="24"/>
          <w:highlight w:val="none"/>
        </w:rPr>
        <w:t xml:space="preserve">竣工验收合格后，成交供应商凭采购人签署的同意退还履约保证金的证明，前往采购人处办理保证金退还手续。履约保证金未如期归还，给乙方造成损失，由甲方承担。采购人拖延退还履约保证金，由采购人按应退履约保证金总价款同期银行贷款利率承担违约责任。</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33、标的物的追加</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20"/>
        <w:keepLines/>
        <w:keepNext/>
        <w:spacing w:line="360" w:lineRule="auto"/>
        <w:rPr>
          <w:rFonts w:hint="eastAsia" w:ascii="Arial" w:hAnsi="Arial" w:eastAsia="黑体" w:cs="Arial"/>
          <w:color w:val="auto"/>
          <w:sz w:val="28"/>
          <w:szCs w:val="28"/>
          <w:highlight w:val="none"/>
        </w:rPr>
        <w:outlineLvl w:val="3"/>
      </w:pPr>
      <w:r>
        <w:rPr>
          <w:rFonts w:hint="eastAsia" w:ascii="Arial" w:hAnsi="Arial" w:eastAsia="黑体" w:cs="Arial"/>
          <w:color w:val="auto"/>
          <w:sz w:val="28"/>
          <w:szCs w:val="28"/>
          <w:highlight w:val="none"/>
        </w:rPr>
        <w:t xml:space="preserve">34、履约验收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34.1履约验收的基本要求：中标供应商应按照合同约定的时间、质量、数量等要求完成本项目。本项目将严格按照项目需求中的质量和技术要求和施工图、工程量清单中的施工标准进行履约验收。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34.2履约验收的实施主体：由采购人作为实施主体，负责组织开展本项目的履约验收工作。也可根据实际需要委托具有相关专业资质和能力的第三方机构协助开展验收工作。</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34.3履约验收的时间方式：政府采购合同约定的履约验收条件达到时，采购人应当在30个工作日内启动履约验收工作，并向供应商发出《政府采购履约验收通知单》（见附件）</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34.4履约验收的内容：涵盖实施项目的完整性，包含项目需求中的质量和技术要求和施工图、工程量清单中的施工标准。</w:t>
      </w:r>
      <w:r>
        <w:rPr>
          <w:rFonts w:hint="eastAsia" w:ascii="宋体" w:hAnsi="宋体" w:eastAsia="宋体" w:cs="Times New Roman"/>
          <w:color w:val="auto"/>
          <w:sz w:val="24"/>
          <w:szCs w:val="24"/>
          <w:highlight w:val="none"/>
          <w:lang w:val="en-US" w:eastAsia="zh-CN"/>
        </w:rPr>
        <w:t xml:space="preserve">验收过程中提出的整改意见，供应商须无条件配合，否则视为未按合同要求履行，整改不到位或无法整改的，验收不予通过。验收结束后，验收小组出具验收书，由验收双方共同签署。</w:t>
      </w:r>
      <w:r/>
    </w:p>
    <w:p>
      <w:pPr>
        <w:ind w:firstLine="60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34.5履约验收的标准：按国家工程竣工验收有关规定的验收要求。</w:t>
      </w:r>
      <w:r/>
    </w:p>
    <w:p>
      <w:pPr>
        <w:ind w:firstLine="600"/>
        <w:spacing w:line="360" w:lineRule="auto"/>
        <w:rPr>
          <w:rFonts w:hint="eastAsia"/>
          <w:color w:val="auto"/>
          <w:highlight w:val="none"/>
        </w:rPr>
      </w:pPr>
      <w:r>
        <w:rPr>
          <w:rFonts w:hint="eastAsia" w:ascii="宋体" w:hAnsi="宋体" w:eastAsia="宋体" w:cs="Times New Roman"/>
          <w:color w:val="auto"/>
          <w:sz w:val="24"/>
          <w:szCs w:val="24"/>
          <w:highlight w:val="none"/>
        </w:rPr>
        <w:t xml:space="preserve">34.6采购人、供应商应当对验收小组出具的验收意见进行确认，并形成验收证明。</w:t>
      </w:r>
      <w:bookmarkEnd w:id="168"/>
      <w:r/>
      <w:bookmarkEnd w:id="169"/>
      <w:r/>
      <w:bookmarkEnd w:id="170"/>
      <w:r/>
      <w:r/>
    </w:p>
    <w:p>
      <w:pPr>
        <w:ind w:firstLine="420"/>
        <w:keepLines/>
        <w:keepNext/>
        <w:spacing w:line="360" w:lineRule="auto"/>
        <w:rPr>
          <w:rFonts w:ascii="Arial" w:hAnsi="Arial" w:eastAsia="黑体" w:cs="Arial"/>
          <w:color w:val="auto"/>
          <w:sz w:val="28"/>
          <w:szCs w:val="28"/>
          <w:highlight w:val="none"/>
        </w:rPr>
        <w:outlineLvl w:val="3"/>
      </w:pPr>
      <w:r/>
      <w:bookmarkStart w:id="171" w:name="_Toc16938558"/>
      <w:r/>
      <w:bookmarkStart w:id="172" w:name="_Toc513029242"/>
      <w:r/>
      <w:bookmarkStart w:id="173" w:name="_Toc120614221"/>
      <w:r/>
      <w:bookmarkStart w:id="174" w:name="_Toc20823314"/>
      <w:r/>
      <w:bookmarkStart w:id="175" w:name="_Toc479757207"/>
      <w:r>
        <w:rPr>
          <w:rFonts w:hint="eastAsia" w:ascii="Arial" w:hAnsi="Arial" w:eastAsia="黑体" w:cs="Arial"/>
          <w:color w:val="auto"/>
          <w:sz w:val="28"/>
          <w:szCs w:val="28"/>
          <w:highlight w:val="none"/>
        </w:rPr>
        <w:t xml:space="preserve">3</w:t>
      </w:r>
      <w:r>
        <w:rPr>
          <w:rFonts w:hint="eastAsia" w:ascii="Arial" w:hAnsi="Arial" w:eastAsia="黑体" w:cs="Arial"/>
          <w:color w:val="auto"/>
          <w:sz w:val="28"/>
          <w:szCs w:val="28"/>
          <w:highlight w:val="none"/>
          <w:lang w:val="en-US" w:eastAsia="zh-CN"/>
        </w:rPr>
        <w:t xml:space="preserve">5</w:t>
      </w:r>
      <w:r>
        <w:rPr>
          <w:rFonts w:hint="eastAsia" w:ascii="Arial" w:hAnsi="Arial" w:eastAsia="黑体" w:cs="Arial"/>
          <w:color w:val="auto"/>
          <w:sz w:val="28"/>
          <w:szCs w:val="28"/>
          <w:highlight w:val="none"/>
        </w:rPr>
        <w:t xml:space="preserve">、政府采购履约资金扶持政策</w:t>
      </w:r>
      <w:r/>
    </w:p>
    <w:p>
      <w:pPr>
        <w:ind w:firstLine="555"/>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成交供应商可凭政府采购合同办理融资贷款，详情请见江苏政府采购网“政采贷”专栏。</w:t>
      </w:r>
      <w:r/>
    </w:p>
    <w:p>
      <w:pPr>
        <w:pStyle w:val="943"/>
        <w:rPr>
          <w:rFonts w:hint="eastAsia"/>
          <w:color w:val="auto"/>
          <w:highlight w:val="none"/>
        </w:rPr>
      </w:pPr>
      <w:r>
        <w:rPr>
          <w:rFonts w:hint="eastAsia"/>
          <w:color w:val="auto"/>
          <w:highlight w:val="none"/>
        </w:rPr>
      </w:r>
      <w:r/>
    </w:p>
    <w:p>
      <w:pPr>
        <w:ind w:firstLine="42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ind w:firstLine="2640"/>
        <w:keepNext/>
        <w:spacing w:line="360" w:lineRule="auto"/>
        <w:rPr>
          <w:rFonts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br w:type="column"/>
      </w:r>
      <w:r>
        <w:rPr>
          <w:rFonts w:hint="eastAsia" w:ascii="黑体" w:hAnsi="Times New Roman" w:eastAsia="黑体"/>
          <w:bCs/>
          <w:color w:val="auto"/>
          <w:sz w:val="44"/>
          <w:szCs w:val="28"/>
          <w:highlight w:val="none"/>
        </w:rPr>
        <w:t xml:space="preserve">第三章  合同</w:t>
      </w:r>
      <w:bookmarkEnd w:id="171"/>
      <w:r/>
      <w:bookmarkEnd w:id="172"/>
      <w:r/>
      <w:bookmarkEnd w:id="173"/>
      <w:r/>
      <w:bookmarkEnd w:id="174"/>
      <w:r/>
      <w:bookmarkEnd w:id="175"/>
      <w:r>
        <w:rPr>
          <w:rFonts w:hint="eastAsia" w:ascii="黑体" w:hAnsi="Times New Roman" w:eastAsia="黑体"/>
          <w:bCs/>
          <w:color w:val="auto"/>
          <w:sz w:val="44"/>
          <w:szCs w:val="28"/>
          <w:highlight w:val="none"/>
        </w:rPr>
        <w:t xml:space="preserve">文本</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以下为成交后签定本项目合同的通用条款，成交供应商不得提出实质性的修改，关于专用条款将由采购人与成交供应商结合本项目具体情况协商后签订。</w:t>
      </w:r>
      <w:r/>
    </w:p>
    <w:p>
      <w:pPr>
        <w:jc w:val="left"/>
        <w:spacing w:line="360" w:lineRule="auto"/>
        <w:rPr>
          <w:rFonts w:ascii="Times New Roman" w:hAnsi="Times New Roman" w:eastAsia="仿宋_GB2312"/>
          <w:color w:val="auto"/>
          <w:sz w:val="32"/>
          <w:szCs w:val="24"/>
          <w:highlight w:val="none"/>
        </w:rPr>
      </w:pPr>
      <w:r/>
      <w:bookmarkStart w:id="176" w:name="_Hlt16619369"/>
      <w:r/>
      <w:bookmarkEnd w:id="176"/>
      <w:r>
        <w:rPr>
          <w:rFonts w:hint="eastAsia" w:ascii="Times New Roman" w:hAnsi="Times New Roman" w:eastAsia="仿宋_GB2312"/>
          <w:color w:val="auto"/>
          <w:sz w:val="32"/>
          <w:szCs w:val="24"/>
          <w:highlight w:val="none"/>
        </w:rPr>
        <w:t xml:space="preserve">（GF—2017</w:t>
      </w:r>
      <w:r>
        <w:rPr>
          <w:rFonts w:ascii="Times New Roman" w:hAnsi="Times New Roman" w:eastAsia="仿宋_GB2312"/>
          <w:color w:val="auto"/>
          <w:sz w:val="32"/>
          <w:szCs w:val="24"/>
          <w:highlight w:val="none"/>
        </w:rPr>
        <w:t xml:space="preserve">—</w:t>
      </w:r>
      <w:r>
        <w:rPr>
          <w:rFonts w:hint="eastAsia" w:ascii="Times New Roman" w:hAnsi="Times New Roman" w:eastAsia="仿宋_GB2312"/>
          <w:color w:val="auto"/>
          <w:sz w:val="32"/>
          <w:szCs w:val="24"/>
          <w:highlight w:val="none"/>
        </w:rPr>
        <w:t xml:space="preserve">0201）</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hint="eastAsia" w:ascii="Times New Roman" w:hAnsi="Times New Roman" w:eastAsia="华文中宋"/>
          <w:b/>
          <w:color w:val="auto"/>
          <w:sz w:val="52"/>
          <w:szCs w:val="24"/>
          <w:highlight w:val="none"/>
        </w:rPr>
      </w:pPr>
      <w:r>
        <w:rPr>
          <w:rFonts w:hint="eastAsia"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jc w:val="center"/>
        <w:spacing w:line="360" w:lineRule="auto"/>
        <w:rPr>
          <w:rFonts w:ascii="Times New Roman" w:hAnsi="Times New Roman" w:eastAsia="华文中宋"/>
          <w:b/>
          <w:color w:val="auto"/>
          <w:sz w:val="72"/>
          <w:szCs w:val="24"/>
          <w:highlight w:val="none"/>
        </w:rPr>
      </w:pPr>
      <w:r>
        <w:rPr>
          <w:rFonts w:hint="eastAsia" w:ascii="Times New Roman" w:hAnsi="Times New Roman" w:eastAsia="华文中宋"/>
          <w:b/>
          <w:color w:val="auto"/>
          <w:sz w:val="72"/>
          <w:szCs w:val="24"/>
          <w:highlight w:val="none"/>
        </w:rPr>
        <w:t xml:space="preserve">建设工程施工合同</w:t>
      </w:r>
      <w:r/>
    </w:p>
    <w:p>
      <w:pPr>
        <w:jc w:val="center"/>
        <w:spacing w:line="360" w:lineRule="auto"/>
        <w:rPr>
          <w:rFonts w:ascii="Times New Roman" w:hAnsi="Times New Roman" w:eastAsia="华文中宋"/>
          <w:b/>
          <w:color w:val="auto"/>
          <w:sz w:val="52"/>
          <w:szCs w:val="24"/>
          <w:highlight w:val="none"/>
        </w:rPr>
      </w:pPr>
      <w:r>
        <w:rPr>
          <w:rFonts w:ascii="Times New Roman" w:hAnsi="Times New Roman" w:eastAsia="华文中宋"/>
          <w:b/>
          <w:color w:val="auto"/>
          <w:sz w:val="52"/>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spacing w:line="360" w:lineRule="auto"/>
        <w:rPr>
          <w:rFonts w:ascii="Times New Roman" w:hAnsi="Times New Roman"/>
          <w:b/>
          <w:color w:val="auto"/>
          <w:sz w:val="28"/>
          <w:szCs w:val="24"/>
          <w:highlight w:val="none"/>
        </w:rPr>
      </w:pPr>
      <w:r>
        <w:rPr>
          <w:rFonts w:ascii="Times New Roman" w:hAnsi="Times New Roman"/>
          <w:b/>
          <w:color w:val="auto"/>
          <w:sz w:val="28"/>
          <w:szCs w:val="24"/>
          <w:highlight w:val="none"/>
        </w:rPr>
      </w:r>
      <w:r/>
    </w:p>
    <w:p>
      <w:pPr>
        <w:ind w:right="2719" w:firstLine="2738"/>
        <w:jc w:val="both"/>
        <w:spacing w:line="360" w:lineRule="auto"/>
        <w:rPr>
          <w:rFonts w:ascii="Times New Roman" w:hAnsi="Times New Roman"/>
          <w:b/>
          <w:color w:val="auto"/>
          <w:sz w:val="32"/>
          <w:szCs w:val="24"/>
          <w:highlight w:val="none"/>
        </w:rPr>
      </w:pPr>
      <w:r>
        <w:rPr>
          <w:rFonts w:ascii="Times New Roman" w:hAnsi="Times New Roman"/>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4495800</wp:posOffset>
                </wp:positionH>
                <wp:positionV relativeFrom="paragraph">
                  <wp:posOffset>142875</wp:posOffset>
                </wp:positionV>
                <wp:extent cx="723900" cy="4572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sz w:val="32"/>
                              </w:rPr>
                            </w:pPr>
                            <w:r>
                              <w:rPr>
                                <w:rFonts w:hint="eastAsia"/>
                                <w:b/>
                                <w:sz w:val="32"/>
                              </w:rPr>
                              <w:t xml:space="preserve">制定</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354.0pt;mso-position-horizontal:absolute;mso-position-vertical-relative:text;margin-top:11.2pt;mso-position-vertical:absolute;width:57.0pt;height:36.0pt;mso-wrap-distance-left:9.0pt;mso-wrap-distance-top:0.0pt;mso-wrap-distance-right:9.0pt;mso-wrap-distance-bottom:0.0pt;visibility:visible;" filled="f" strokecolor="#FFFFFF">
                <v:textbox inset="0,0,0,0">
                  <w:txbxContent>
                    <w:p>
                      <w:pPr>
                        <w:rPr>
                          <w:b/>
                          <w:sz w:val="32"/>
                        </w:rPr>
                      </w:pPr>
                      <w:r>
                        <w:rPr>
                          <w:rFonts w:hint="eastAsia"/>
                          <w:b/>
                          <w:sz w:val="32"/>
                        </w:rPr>
                        <w:t xml:space="preserve">制定</w:t>
                      </w:r>
                      <w:r/>
                    </w:p>
                    <w:p>
                      <w:r/>
                      <w:r/>
                    </w:p>
                  </w:txbxContent>
                </v:textbox>
              </v:shape>
            </w:pict>
          </mc:Fallback>
        </mc:AlternateContent>
      </w:r>
      <w:r>
        <w:rPr>
          <w:rFonts w:hint="eastAsia" w:ascii="Times New Roman" w:hAnsi="Times New Roman"/>
          <w:b/>
          <w:color w:val="auto"/>
          <w:sz w:val="32"/>
          <w:szCs w:val="24"/>
          <w:highlight w:val="none"/>
        </w:rPr>
        <w:t xml:space="preserve">住房城乡建设部</w:t>
      </w:r>
      <w:r/>
    </w:p>
    <w:p>
      <w:pPr>
        <w:ind w:right="2719" w:firstLine="2750"/>
        <w:jc w:val="both"/>
        <w:spacing w:line="360" w:lineRule="auto"/>
        <w:rPr>
          <w:rFonts w:ascii="Times New Roman" w:hAnsi="Times New Roman"/>
          <w:b/>
          <w:color w:val="auto"/>
          <w:sz w:val="32"/>
          <w:szCs w:val="24"/>
          <w:highlight w:val="none"/>
        </w:rPr>
      </w:pPr>
      <w:r>
        <w:rPr>
          <w:rFonts w:hint="eastAsia" w:ascii="Times New Roman" w:hAnsi="Times New Roman"/>
          <w:b/>
          <w:color w:val="auto"/>
          <w:sz w:val="32"/>
          <w:szCs w:val="24"/>
          <w:highlight w:val="none"/>
        </w:rPr>
        <w:t xml:space="preserve">国家工商行政管理总局</w:t>
      </w:r>
      <w:r/>
    </w:p>
    <w:p>
      <w:pPr>
        <w:spacing w:line="360" w:lineRule="auto"/>
        <w:rPr>
          <w:rFonts w:ascii="Times New Roman" w:hAnsi="Times New Roman"/>
          <w:b/>
          <w:color w:val="auto"/>
          <w:szCs w:val="24"/>
          <w:highlight w:val="none"/>
        </w:rPr>
      </w:pPr>
      <w:r>
        <w:rPr>
          <w:rFonts w:ascii="Times New Roman" w:hAnsi="Times New Roman"/>
          <w:b/>
          <w:color w:val="auto"/>
          <w:szCs w:val="24"/>
          <w:highlight w:val="none"/>
        </w:rPr>
      </w:r>
      <w:r/>
    </w:p>
    <w:p>
      <w:pPr>
        <w:pStyle w:val="1115"/>
        <w:jc w:val="center"/>
        <w:rPr>
          <w:rFonts w:hint="eastAsia" w:ascii="宋体" w:hAnsi="宋体"/>
          <w:b w:val="0"/>
          <w:bCs w:val="0"/>
          <w:color w:val="auto"/>
          <w:sz w:val="24"/>
          <w:szCs w:val="24"/>
          <w:highlight w:val="none"/>
        </w:rPr>
      </w:pPr>
      <w:r>
        <w:rPr>
          <w:color w:val="auto"/>
          <w:szCs w:val="24"/>
          <w:highlight w:val="none"/>
        </w:rPr>
        <w:br w:type="page" w:clear="all"/>
      </w:r>
      <w:bookmarkStart w:id="177" w:name="_Toc26644"/>
      <w:r>
        <w:rPr>
          <w:rFonts w:hint="eastAsia" w:ascii="宋体" w:hAnsi="宋体"/>
          <w:bCs w:val="0"/>
          <w:color w:val="auto"/>
          <w:sz w:val="24"/>
          <w:szCs w:val="24"/>
          <w:highlight w:val="none"/>
        </w:rPr>
        <w:t xml:space="preserve">第一部分 合同协议书</w:t>
      </w:r>
      <w:bookmarkEnd w:id="177"/>
      <w:r/>
      <w:r/>
    </w:p>
    <w:p>
      <w:pPr>
        <w:spacing w:line="360" w:lineRule="auto"/>
        <w:rPr>
          <w:rFonts w:hint="eastAsia" w:ascii="宋体" w:hAnsi="宋体"/>
          <w:b/>
          <w:color w:val="auto"/>
          <w:szCs w:val="21"/>
          <w:highlight w:val="none"/>
          <w:u w:val="single"/>
        </w:rPr>
      </w:pPr>
      <w:r>
        <w:rPr>
          <w:rFonts w:hint="eastAsia" w:ascii="宋体" w:hAnsi="宋体"/>
          <w:b/>
          <w:color w:val="auto"/>
          <w:szCs w:val="21"/>
          <w:highlight w:val="none"/>
        </w:rPr>
        <w:t xml:space="preserve">发包人（全称）：</w:t>
      </w:r>
      <w:r>
        <w:rPr>
          <w:rFonts w:hint="eastAsia" w:ascii="宋体" w:hAnsi="宋体"/>
          <w:b/>
          <w:color w:val="auto"/>
          <w:szCs w:val="21"/>
          <w:highlight w:val="none"/>
          <w:u w:val="single"/>
        </w:rPr>
        <w:t xml:space="preserve">                            </w:t>
      </w:r>
      <w:r/>
    </w:p>
    <w:p>
      <w:pPr>
        <w:spacing w:line="360" w:lineRule="auto"/>
        <w:rPr>
          <w:rFonts w:hint="eastAsia" w:ascii="宋体" w:hAnsi="宋体"/>
          <w:b/>
          <w:color w:val="auto"/>
          <w:szCs w:val="21"/>
          <w:highlight w:val="none"/>
          <w:u w:val="single"/>
        </w:rPr>
      </w:pPr>
      <w:r>
        <w:rPr>
          <w:rFonts w:hint="eastAsia" w:ascii="宋体" w:hAnsi="宋体"/>
          <w:b/>
          <w:color w:val="auto"/>
          <w:szCs w:val="21"/>
          <w:highlight w:val="none"/>
        </w:rPr>
        <w:t xml:space="preserve">承包人（全称）：</w:t>
      </w:r>
      <w:r>
        <w:rPr>
          <w:rFonts w:hint="eastAsia" w:ascii="宋体" w:hAnsi="宋体"/>
          <w:b/>
          <w:color w:val="auto"/>
          <w:szCs w:val="21"/>
          <w:highlight w:val="none"/>
          <w:u w:val="single"/>
        </w:rPr>
        <w:t xml:space="preserve">                              </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根据《中华人民共和国</w:t>
      </w:r>
      <w:r>
        <w:rPr>
          <w:rFonts w:ascii="宋体" w:hAnsi="宋体"/>
          <w:color w:val="auto"/>
          <w:szCs w:val="21"/>
          <w:highlight w:val="none"/>
        </w:rPr>
        <w:t xml:space="preserve">民法典</w:t>
      </w:r>
      <w:r>
        <w:rPr>
          <w:rFonts w:hint="eastAsia" w:ascii="宋体" w:hAnsi="宋体"/>
          <w:color w:val="auto"/>
          <w:szCs w:val="21"/>
          <w:highlight w:val="none"/>
        </w:rPr>
        <w:t xml:space="preserve">》、《中华人民共和国建筑法》及有关法律规定，遵循平等、自愿、公平和诚实信用的原则，双方就</w:t>
      </w:r>
      <w:r>
        <w:rPr>
          <w:rFonts w:hint="eastAsia" w:ascii="宋体" w:hAnsi="宋体"/>
          <w:color w:val="auto"/>
          <w:szCs w:val="21"/>
          <w:highlight w:val="none"/>
          <w:u w:val="single"/>
          <w:lang w:eastAsia="zh-CN"/>
        </w:rPr>
        <w:t xml:space="preserve">先锋街道危桥改造工程（第二次）</w:t>
      </w:r>
      <w:r>
        <w:rPr>
          <w:rFonts w:hint="eastAsia" w:ascii="宋体" w:hAnsi="宋体"/>
          <w:color w:val="auto"/>
          <w:szCs w:val="21"/>
          <w:highlight w:val="none"/>
        </w:rPr>
        <w:t xml:space="preserve">施工及有关事项协商一致，共同达成如下协议：</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78" w:name="_Toc351203481"/>
      <w:r>
        <w:rPr>
          <w:rFonts w:hint="eastAsia" w:ascii="宋体" w:hAnsi="宋体" w:eastAsia="黑体"/>
          <w:bCs/>
          <w:color w:val="auto"/>
          <w:sz w:val="28"/>
          <w:highlight w:val="none"/>
        </w:rPr>
        <w:t xml:space="preserve">一、工程概况</w:t>
      </w:r>
      <w:bookmarkEnd w:id="178"/>
      <w:r/>
      <w:r/>
    </w:p>
    <w:p>
      <w:pPr>
        <w:ind w:firstLine="412"/>
        <w:keepLines w:val="0"/>
        <w:keepNext w:val="0"/>
        <w:pageBreakBefore w:val="0"/>
        <w:spacing w:line="360" w:lineRule="auto"/>
        <w:widowControl w:val="off"/>
        <w:rPr>
          <w:rFonts w:hint="eastAsia" w:ascii="宋体" w:hAnsi="宋体"/>
          <w:color w:val="auto"/>
          <w:szCs w:val="21"/>
          <w:highlight w:val="none"/>
          <w:u w:val="single"/>
        </w:rPr>
      </w:pPr>
      <w:r>
        <w:rPr>
          <w:rFonts w:hint="eastAsia" w:ascii="宋体" w:hAnsi="宋体"/>
          <w:color w:val="auto"/>
          <w:szCs w:val="21"/>
          <w:highlight w:val="none"/>
        </w:rPr>
        <w:t xml:space="preserve">1.工程名称：</w:t>
      </w:r>
      <w:r>
        <w:rPr>
          <w:rFonts w:hint="eastAsia" w:ascii="宋体" w:hAnsi="宋体"/>
          <w:color w:val="auto"/>
          <w:szCs w:val="21"/>
          <w:highlight w:val="none"/>
          <w:u w:val="single"/>
          <w:lang w:eastAsia="zh-CN"/>
        </w:rPr>
        <w:t xml:space="preserve">先锋街道危桥改造工程（第二次）</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u w:val="single"/>
        </w:rPr>
      </w:pPr>
      <w:r>
        <w:rPr>
          <w:rFonts w:hint="eastAsia" w:ascii="宋体" w:hAnsi="宋体"/>
          <w:color w:val="auto"/>
          <w:szCs w:val="21"/>
          <w:highlight w:val="none"/>
        </w:rPr>
        <w:t xml:space="preserve">2.工程地点：</w:t>
      </w:r>
      <w:r>
        <w:rPr>
          <w:rFonts w:hint="eastAsia" w:ascii="宋体" w:hAnsi="宋体"/>
          <w:color w:val="auto"/>
          <w:szCs w:val="21"/>
          <w:highlight w:val="none"/>
          <w:u w:val="single"/>
        </w:rPr>
        <w:t xml:space="preserve">             。</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3.工程立项批准文号：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4.资金来源：</w:t>
      </w:r>
      <w:r>
        <w:rPr>
          <w:rFonts w:hint="eastAsia" w:ascii="宋体" w:hAnsi="宋体"/>
          <w:color w:val="auto"/>
          <w:szCs w:val="21"/>
          <w:highlight w:val="none"/>
          <w:u w:val="single"/>
        </w:rPr>
        <w:t xml:space="preserve"> 财政资金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5.工程内容：</w:t>
      </w:r>
      <w:r>
        <w:rPr>
          <w:rFonts w:hint="eastAsia" w:ascii="宋体" w:hAnsi="宋体"/>
          <w:color w:val="auto"/>
          <w:szCs w:val="21"/>
          <w:highlight w:val="none"/>
          <w:u w:val="single"/>
        </w:rPr>
        <w:t xml:space="preserve">详见磋商文件、工程量清单及图纸所含内容 </w:t>
      </w:r>
      <w:r>
        <w:rPr>
          <w:rFonts w:hint="eastAsia" w:ascii="宋体" w:hAnsi="宋体"/>
          <w:color w:val="auto"/>
          <w:szCs w:val="21"/>
          <w:highlight w:val="none"/>
        </w:rPr>
        <w:t xml:space="preserve">。</w:t>
      </w:r>
      <w:r/>
    </w:p>
    <w:p>
      <w:pPr>
        <w:ind w:firstLine="412"/>
        <w:keepLines w:val="0"/>
        <w:keepNext w:val="0"/>
        <w:pageBreakBefore w:val="0"/>
        <w:spacing w:line="360" w:lineRule="auto"/>
        <w:widowControl w:val="off"/>
        <w:rPr>
          <w:rFonts w:ascii="宋体" w:hAnsi="宋体"/>
          <w:color w:val="auto"/>
          <w:szCs w:val="21"/>
          <w:highlight w:val="none"/>
        </w:rPr>
      </w:pPr>
      <w:r>
        <w:rPr>
          <w:rFonts w:hint="eastAsia" w:ascii="宋体" w:hAnsi="宋体"/>
          <w:color w:val="auto"/>
          <w:szCs w:val="21"/>
          <w:highlight w:val="none"/>
        </w:rPr>
        <w:t xml:space="preserve">6.工程承包范围：</w:t>
      </w:r>
      <w:r>
        <w:rPr>
          <w:rFonts w:hint="eastAsia" w:ascii="宋体" w:hAnsi="宋体"/>
          <w:color w:val="auto"/>
          <w:szCs w:val="21"/>
          <w:highlight w:val="none"/>
          <w:u w:val="single"/>
        </w:rPr>
        <w:t xml:space="preserve">磋商文件、工程量清单及图纸所含内容  </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u w:val="single"/>
        </w:rPr>
      </w:pPr>
      <w:r>
        <w:rPr>
          <w:rFonts w:hint="eastAsia" w:ascii="宋体" w:hAnsi="宋体" w:cs="宋体"/>
          <w:bCs/>
          <w:color w:val="auto"/>
          <w:szCs w:val="21"/>
          <w:highlight w:val="none"/>
        </w:rPr>
        <w:t xml:space="preserve">7.承包方式：</w:t>
      </w:r>
      <w:r>
        <w:rPr>
          <w:rFonts w:hint="eastAsia" w:ascii="宋体" w:hAnsi="宋体" w:cs="宋体"/>
          <w:bCs/>
          <w:color w:val="auto"/>
          <w:szCs w:val="21"/>
          <w:highlight w:val="none"/>
          <w:u w:val="single"/>
        </w:rPr>
        <w:t xml:space="preserve">承包人按合同约定的承包范围，以包工包料方式完成承包工程及招标文件中规定的相关工作。</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8.承包人对承包范围内的全部工程的质量、安全、工期、文明施工等负完全责任。  </w:t>
      </w:r>
      <w:r/>
    </w:p>
    <w:p>
      <w:pPr>
        <w:keepLines/>
        <w:keepNext/>
        <w:spacing w:before="120" w:after="120" w:line="440" w:lineRule="exact"/>
        <w:rPr>
          <w:rFonts w:hint="eastAsia" w:ascii="宋体" w:hAnsi="宋体" w:eastAsia="黑体"/>
          <w:bCs/>
          <w:color w:val="auto"/>
          <w:sz w:val="28"/>
          <w:highlight w:val="none"/>
        </w:rPr>
        <w:outlineLvl w:val="3"/>
      </w:pPr>
      <w:r>
        <w:rPr>
          <w:rFonts w:ascii="Times New Roman" w:hAnsi="Times New Roman" w:eastAsia="黑体"/>
          <w:bCs/>
          <w:color w:val="auto"/>
          <w:sz w:val="24"/>
          <w:highlight w:val="none"/>
        </w:rPr>
        <w:t xml:space="preserve">  </w:t>
      </w:r>
      <w:r>
        <w:rPr>
          <w:rFonts w:hint="eastAsia" w:ascii="宋体" w:hAnsi="宋体" w:eastAsia="黑体"/>
          <w:bCs/>
          <w:color w:val="auto"/>
          <w:sz w:val="28"/>
          <w:highlight w:val="none"/>
        </w:rPr>
        <w:t xml:space="preserve"> </w:t>
      </w:r>
      <w:bookmarkStart w:id="179" w:name="_Toc351203482"/>
      <w:r>
        <w:rPr>
          <w:rFonts w:hint="eastAsia" w:ascii="宋体" w:hAnsi="宋体" w:eastAsia="黑体"/>
          <w:bCs/>
          <w:color w:val="auto"/>
          <w:sz w:val="28"/>
          <w:highlight w:val="none"/>
        </w:rPr>
        <w:t xml:space="preserve">二、合同工期</w:t>
      </w:r>
      <w:bookmarkEnd w:id="179"/>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计划开工日期：</w:t>
      </w:r>
      <w:r>
        <w:rPr>
          <w:rFonts w:hint="eastAsia" w:ascii="宋体" w:hAnsi="宋体"/>
          <w:color w:val="auto"/>
          <w:szCs w:val="21"/>
          <w:highlight w:val="none"/>
          <w:u w:val="single"/>
        </w:rPr>
        <w:t xml:space="preserve">  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计划竣工日期：</w:t>
      </w:r>
      <w:r>
        <w:rPr>
          <w:rFonts w:hint="eastAsia" w:ascii="宋体" w:hAnsi="宋体"/>
          <w:color w:val="auto"/>
          <w:szCs w:val="21"/>
          <w:highlight w:val="none"/>
          <w:u w:val="single"/>
        </w:rPr>
        <w:t xml:space="preserve">  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工期总日历天数：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日历天。工期总日历天数与根据前述计划开竣工日期计算的工期天数不一致的，以工期总日历天数为准。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0" w:name="_Toc351203483"/>
      <w:r>
        <w:rPr>
          <w:rFonts w:hint="eastAsia" w:ascii="宋体" w:hAnsi="宋体" w:eastAsia="黑体"/>
          <w:bCs/>
          <w:color w:val="auto"/>
          <w:sz w:val="28"/>
          <w:highlight w:val="none"/>
        </w:rPr>
        <w:t xml:space="preserve">三、质量标准</w:t>
      </w:r>
      <w:bookmarkEnd w:id="180"/>
      <w:r/>
      <w:r/>
    </w:p>
    <w:p>
      <w:pPr>
        <w:ind w:firstLine="459"/>
        <w:spacing w:line="440" w:lineRule="exact"/>
        <w:rPr>
          <w:rFonts w:hint="eastAsia" w:ascii="宋体" w:hAnsi="宋体"/>
          <w:color w:val="auto"/>
          <w:szCs w:val="21"/>
          <w:highlight w:val="none"/>
        </w:rPr>
      </w:pPr>
      <w:r>
        <w:rPr>
          <w:rFonts w:hint="eastAsia" w:ascii="宋体" w:hAnsi="宋体"/>
          <w:color w:val="auto"/>
          <w:szCs w:val="21"/>
          <w:highlight w:val="none"/>
        </w:rPr>
        <w:t xml:space="preserve">工程质量符合</w:t>
      </w:r>
      <w:r>
        <w:rPr>
          <w:rFonts w:hint="eastAsia" w:ascii="宋体" w:hAnsi="宋体"/>
          <w:color w:val="auto"/>
          <w:szCs w:val="21"/>
          <w:highlight w:val="none"/>
          <w:u w:val="single"/>
        </w:rPr>
        <w:t xml:space="preserve">合格</w:t>
      </w:r>
      <w:r>
        <w:rPr>
          <w:rFonts w:hint="eastAsia" w:ascii="宋体" w:hAnsi="宋体"/>
          <w:color w:val="auto"/>
          <w:szCs w:val="21"/>
          <w:highlight w:val="none"/>
        </w:rPr>
        <w:t xml:space="preserve">标准；</w:t>
      </w:r>
      <w:r>
        <w:rPr>
          <w:rFonts w:hint="eastAsia" w:ascii="宋体" w:hAnsi="宋体" w:cs="宋体"/>
          <w:b/>
          <w:bCs/>
          <w:color w:val="auto"/>
          <w:szCs w:val="21"/>
          <w:highlight w:val="none"/>
          <w:u w:val="single"/>
        </w:rPr>
        <w:t xml:space="preserve">以工程合同价的3%作为质量履约保证金。如达不到本协议书约定的验收标准，则质量履约保证金不予退还，同时承包人必须在发包人要求的期限内整改到位达到验收</w:t>
      </w:r>
      <w:r>
        <w:rPr>
          <w:rFonts w:hint="eastAsia" w:ascii="宋体" w:hAnsi="宋体" w:cs="宋体"/>
          <w:color w:val="auto"/>
          <w:szCs w:val="21"/>
          <w:highlight w:val="none"/>
        </w:rPr>
        <w:t xml:space="preserve">标准。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1" w:name="_Toc351203484"/>
      <w:r>
        <w:rPr>
          <w:rFonts w:hint="eastAsia" w:ascii="宋体" w:hAnsi="宋体" w:eastAsia="黑体"/>
          <w:bCs/>
          <w:color w:val="auto"/>
          <w:sz w:val="28"/>
          <w:highlight w:val="none"/>
        </w:rPr>
        <w:t xml:space="preserve">四、签约合同价与合同价格形式</w:t>
      </w:r>
      <w:bookmarkEnd w:id="181"/>
      <w:r>
        <w:rPr>
          <w:rFonts w:hint="eastAsia" w:ascii="宋体" w:hAnsi="宋体" w:eastAsia="黑体"/>
          <w:bCs/>
          <w:color w:val="auto"/>
          <w:sz w:val="28"/>
          <w:highlight w:val="none"/>
        </w:rPr>
        <w:tab/>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1.签约合同价为：</w:t>
      </w:r>
      <w:r/>
    </w:p>
    <w:p>
      <w:pPr>
        <w:ind w:firstLine="52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其中：</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（1）安全文明施工费：</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（2）材料和工程设备暂估价金额：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（3）专业工程暂估价金额：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（4）暂列金额：</w:t>
      </w:r>
      <w:r/>
    </w:p>
    <w:p>
      <w:pPr>
        <w:ind w:firstLine="945"/>
        <w:spacing w:line="440" w:lineRule="exact"/>
        <w:rPr>
          <w:rFonts w:hint="eastAsia" w:ascii="宋体" w:hAnsi="宋体"/>
          <w:color w:val="auto"/>
          <w:szCs w:val="21"/>
          <w:highlight w:val="none"/>
        </w:rPr>
      </w:pPr>
      <w:r>
        <w:rPr>
          <w:rFonts w:hint="eastAsia" w:ascii="宋体" w:hAnsi="宋体"/>
          <w:color w:val="auto"/>
          <w:szCs w:val="21"/>
          <w:highlight w:val="none"/>
        </w:rPr>
        <w:t xml:space="preserve">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元)。</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2.合同价格形式：</w:t>
      </w:r>
      <w:r>
        <w:rPr>
          <w:rFonts w:hint="eastAsia" w:ascii="宋体" w:hAnsi="宋体"/>
          <w:color w:val="auto"/>
          <w:szCs w:val="21"/>
          <w:highlight w:val="none"/>
          <w:u w:val="single"/>
        </w:rPr>
        <w:t xml:space="preserve">固定单价合同</w:t>
      </w:r>
      <w:r>
        <w:rPr>
          <w:rFonts w:hint="eastAsia" w:ascii="宋体" w:hAnsi="宋体"/>
          <w:color w:val="auto"/>
          <w:szCs w:val="21"/>
          <w:highlight w:val="none"/>
        </w:rPr>
        <w:t xml:space="preserve">。</w:t>
      </w:r>
      <w:r/>
    </w:p>
    <w:p>
      <w:pPr>
        <w:keepLines/>
        <w:keepNext/>
        <w:spacing w:before="120" w:after="120" w:line="440" w:lineRule="exact"/>
        <w:rPr>
          <w:rFonts w:hint="eastAsia" w:ascii="宋体" w:hAnsi="宋体" w:eastAsia="黑体"/>
          <w:bCs/>
          <w:color w:val="auto"/>
          <w:sz w:val="28"/>
          <w:highlight w:val="none"/>
        </w:rPr>
        <w:outlineLvl w:val="3"/>
      </w:pPr>
      <w:r>
        <w:rPr>
          <w:rFonts w:ascii="Times New Roman" w:hAnsi="Times New Roman" w:eastAsia="黑体"/>
          <w:b/>
          <w:bCs/>
          <w:color w:val="auto"/>
          <w:sz w:val="24"/>
          <w:highlight w:val="none"/>
        </w:rPr>
        <w:t xml:space="preserve">   </w:t>
      </w:r>
      <w:r>
        <w:rPr>
          <w:rFonts w:hint="eastAsia" w:ascii="宋体" w:hAnsi="宋体" w:eastAsia="黑体"/>
          <w:bCs/>
          <w:color w:val="auto"/>
          <w:sz w:val="28"/>
          <w:highlight w:val="none"/>
        </w:rPr>
        <w:t xml:space="preserve"> </w:t>
      </w:r>
      <w:bookmarkStart w:id="182" w:name="_Toc351203485"/>
      <w:r>
        <w:rPr>
          <w:rFonts w:hint="eastAsia" w:ascii="宋体" w:hAnsi="宋体" w:eastAsia="黑体"/>
          <w:bCs/>
          <w:color w:val="auto"/>
          <w:sz w:val="28"/>
          <w:highlight w:val="none"/>
        </w:rPr>
        <w:t xml:space="preserve">五、</w:t>
      </w:r>
      <w:bookmarkEnd w:id="182"/>
      <w:r>
        <w:rPr>
          <w:rFonts w:hint="eastAsia" w:ascii="宋体" w:hAnsi="宋体" w:eastAsia="黑体"/>
          <w:bCs/>
          <w:color w:val="auto"/>
          <w:sz w:val="28"/>
          <w:highlight w:val="none"/>
        </w:rPr>
        <w:t xml:space="preserve">项目经理</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承包人项目经理：</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3" w:name="_Toc351203486"/>
      <w:r>
        <w:rPr>
          <w:rFonts w:hint="eastAsia" w:ascii="宋体" w:hAnsi="宋体" w:eastAsia="黑体"/>
          <w:bCs/>
          <w:color w:val="auto"/>
          <w:sz w:val="28"/>
          <w:highlight w:val="none"/>
        </w:rPr>
        <w:t xml:space="preserve">六、合同文件构成</w:t>
      </w:r>
      <w:bookmarkEnd w:id="183"/>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本协议书与下列文件一起构成合同文件：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（1）中标通知书（如果有）；</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（2）投标函及其附录（如果有）； </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（3）专用合同条款及其附件；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（4）通用合同条款；</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（5）技术标准和要求；</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（6）图纸；</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（7）已标价工程量清单或预算书；</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（8）其他合同文件。</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在合同订立及履行过程中形成的与合同有关的文件均构成合同文件组成部分。</w:t>
      </w:r>
      <w:r/>
    </w:p>
    <w:p>
      <w:pPr>
        <w:ind w:firstLine="420"/>
        <w:jc w:val="left"/>
        <w:spacing w:line="440" w:lineRule="exact"/>
        <w:rPr>
          <w:rFonts w:hint="eastAsia" w:ascii="宋体" w:hAnsi="宋体"/>
          <w:color w:val="auto"/>
          <w:szCs w:val="21"/>
          <w:highlight w:val="none"/>
        </w:rPr>
      </w:pPr>
      <w:r>
        <w:rPr>
          <w:rFonts w:hint="eastAsia" w:ascii="宋体" w:hAnsi="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keepLines/>
        <w:keepNext/>
        <w:spacing w:before="120" w:after="120" w:line="440" w:lineRule="exact"/>
        <w:rPr>
          <w:rFonts w:hint="eastAsia" w:ascii="宋体" w:hAnsi="宋体" w:eastAsia="黑体"/>
          <w:bCs/>
          <w:color w:val="auto"/>
          <w:sz w:val="28"/>
          <w:highlight w:val="none"/>
        </w:rPr>
        <w:outlineLvl w:val="3"/>
      </w:pPr>
      <w:r>
        <w:rPr>
          <w:rFonts w:hint="eastAsia" w:ascii="宋体" w:hAnsi="宋体" w:eastAsia="黑体"/>
          <w:bCs/>
          <w:color w:val="auto"/>
          <w:sz w:val="28"/>
          <w:highlight w:val="none"/>
        </w:rPr>
        <w:t xml:space="preserve">    </w:t>
      </w:r>
      <w:bookmarkStart w:id="184" w:name="_Toc351203487"/>
      <w:r>
        <w:rPr>
          <w:rFonts w:hint="eastAsia" w:ascii="宋体" w:hAnsi="宋体" w:eastAsia="黑体"/>
          <w:bCs/>
          <w:color w:val="auto"/>
          <w:sz w:val="28"/>
          <w:highlight w:val="none"/>
        </w:rPr>
        <w:t xml:space="preserve">七、承诺</w:t>
      </w:r>
      <w:bookmarkEnd w:id="184"/>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1.发包人承诺按照法律规定履行项目审批手续、筹集工程建设资金并按照合同约定的期限和方式支付合同价款。</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3.发包人和承包人通过招投标形式签订合同的，双方理解并承诺不再就同一工程另行签订与合同实质性内容相背离的协议。</w:t>
      </w:r>
      <w:r/>
    </w:p>
    <w:p>
      <w:pPr>
        <w:spacing w:line="440" w:lineRule="exact"/>
        <w:rPr>
          <w:rFonts w:hint="eastAsia" w:ascii="宋体" w:hAnsi="宋体"/>
          <w:color w:val="auto"/>
          <w:szCs w:val="21"/>
          <w:highlight w:val="none"/>
        </w:rPr>
      </w:pPr>
      <w:r/>
      <w:bookmarkStart w:id="185" w:name="_Toc351203488"/>
      <w:r>
        <w:rPr>
          <w:rFonts w:hint="eastAsia" w:ascii="Times New Roman" w:hAnsi="Times New Roman" w:eastAsia="黑体"/>
          <w:b/>
          <w:color w:val="auto"/>
          <w:sz w:val="24"/>
          <w:szCs w:val="21"/>
          <w:highlight w:val="none"/>
        </w:rPr>
        <w:t xml:space="preserve">   </w:t>
      </w:r>
      <w:r>
        <w:rPr>
          <w:rFonts w:hint="eastAsia" w:ascii="宋体" w:hAnsi="宋体"/>
          <w:b/>
          <w:color w:val="auto"/>
          <w:szCs w:val="21"/>
          <w:highlight w:val="none"/>
        </w:rPr>
        <w:t xml:space="preserve"> 八、词语含义</w:t>
      </w:r>
      <w:bookmarkEnd w:id="185"/>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本协议书中词语含义与第二部分通用合同条款中赋予的含义相同。</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r>
        <w:rPr>
          <w:rFonts w:hint="eastAsia" w:ascii="宋体" w:hAnsi="宋体" w:eastAsia="黑体"/>
          <w:bCs/>
          <w:color w:val="auto"/>
          <w:sz w:val="28"/>
          <w:highlight w:val="none"/>
        </w:rPr>
        <w:t xml:space="preserve">  </w:t>
      </w:r>
      <w:bookmarkStart w:id="186" w:name="_Toc351203489"/>
      <w:r>
        <w:rPr>
          <w:rFonts w:hint="eastAsia" w:ascii="宋体" w:hAnsi="宋体" w:eastAsia="黑体"/>
          <w:bCs/>
          <w:color w:val="auto"/>
          <w:sz w:val="28"/>
          <w:highlight w:val="none"/>
        </w:rPr>
        <w:t xml:space="preserve">九、签订时间</w:t>
      </w:r>
      <w:bookmarkEnd w:id="186"/>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本合同于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日签订。</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7" w:name="_Toc351203490"/>
      <w:r>
        <w:rPr>
          <w:rFonts w:hint="eastAsia" w:ascii="宋体" w:hAnsi="宋体" w:eastAsia="黑体"/>
          <w:bCs/>
          <w:color w:val="auto"/>
          <w:sz w:val="28"/>
          <w:highlight w:val="none"/>
        </w:rPr>
        <w:t xml:space="preserve">十、签订地点</w:t>
      </w:r>
      <w:bookmarkEnd w:id="187"/>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本合同在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签订。</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8" w:name="_Toc351203491"/>
      <w:r>
        <w:rPr>
          <w:rFonts w:hint="eastAsia" w:ascii="宋体" w:hAnsi="宋体" w:eastAsia="黑体"/>
          <w:bCs/>
          <w:color w:val="auto"/>
          <w:sz w:val="28"/>
          <w:highlight w:val="none"/>
        </w:rPr>
        <w:t xml:space="preserve">十一、补充协议</w:t>
      </w:r>
      <w:bookmarkEnd w:id="188"/>
      <w:r/>
      <w:r/>
    </w:p>
    <w:p>
      <w:pPr>
        <w:ind w:firstLine="420"/>
        <w:spacing w:line="440" w:lineRule="exact"/>
        <w:rPr>
          <w:rFonts w:hint="eastAsia" w:ascii="宋体" w:hAnsi="宋体"/>
          <w:b/>
          <w:color w:val="auto"/>
          <w:szCs w:val="21"/>
          <w:highlight w:val="none"/>
        </w:rPr>
      </w:pPr>
      <w:r>
        <w:rPr>
          <w:rFonts w:hint="eastAsia" w:ascii="宋体" w:hAnsi="宋体"/>
          <w:color w:val="auto"/>
          <w:szCs w:val="21"/>
          <w:highlight w:val="none"/>
        </w:rPr>
        <w:t xml:space="preserve">合同未尽事宜，合同当事人另行签订补充协议，补充协议是合同的组成部分。</w:t>
      </w:r>
      <w:r/>
    </w:p>
    <w:p>
      <w:pPr>
        <w:keepLines/>
        <w:keepNext/>
        <w:spacing w:before="120" w:after="120" w:line="44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rPr>
        <w:t xml:space="preserve">    </w:t>
      </w:r>
      <w:bookmarkStart w:id="189" w:name="_Toc351203492"/>
      <w:r>
        <w:rPr>
          <w:rFonts w:hint="eastAsia" w:ascii="宋体" w:hAnsi="宋体" w:eastAsia="黑体"/>
          <w:bCs/>
          <w:color w:val="auto"/>
          <w:sz w:val="28"/>
          <w:highlight w:val="none"/>
        </w:rPr>
        <w:t xml:space="preserve">十二、合同生效</w:t>
      </w:r>
      <w:bookmarkEnd w:id="189"/>
      <w:r/>
      <w:r/>
    </w:p>
    <w:p>
      <w:pPr>
        <w:ind w:firstLine="420"/>
        <w:spacing w:line="44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本合同自</w:t>
      </w:r>
      <w:r>
        <w:rPr>
          <w:rFonts w:hint="eastAsia" w:ascii="宋体" w:hAnsi="宋体"/>
          <w:color w:val="auto"/>
          <w:szCs w:val="21"/>
          <w:highlight w:val="none"/>
          <w:u w:val="single"/>
        </w:rPr>
        <w:t xml:space="preserve">双方法定代表人或委托代表人签字并盖法人公章</w:t>
      </w:r>
      <w:r>
        <w:rPr>
          <w:rFonts w:hint="eastAsia" w:ascii="宋体" w:hAnsi="宋体" w:cs="宋体"/>
          <w:color w:val="auto"/>
          <w:szCs w:val="21"/>
          <w:highlight w:val="none"/>
          <w:u w:val="single"/>
        </w:rPr>
        <w:t xml:space="preserve">，履约保证金足额缴纳至发包人指定账户后</w:t>
      </w:r>
      <w:r>
        <w:rPr>
          <w:rFonts w:hint="eastAsia" w:ascii="宋体" w:hAnsi="宋体"/>
          <w:color w:val="auto"/>
          <w:szCs w:val="21"/>
          <w:highlight w:val="none"/>
        </w:rPr>
        <w:t xml:space="preserve">生效。</w:t>
      </w:r>
      <w:r/>
    </w:p>
    <w:p>
      <w:pPr>
        <w:keepLines/>
        <w:keepNext/>
        <w:spacing w:before="120" w:after="120" w:line="440" w:lineRule="exact"/>
        <w:rPr>
          <w:rFonts w:hint="eastAsia" w:ascii="宋体" w:hAnsi="宋体" w:eastAsia="黑体"/>
          <w:b/>
          <w:bCs/>
          <w:color w:val="auto"/>
          <w:sz w:val="28"/>
          <w:highlight w:val="none"/>
        </w:rPr>
        <w:outlineLvl w:val="3"/>
      </w:pPr>
      <w:r>
        <w:rPr>
          <w:rFonts w:ascii="Times New Roman" w:hAnsi="Times New Roman" w:eastAsia="黑体"/>
          <w:b/>
          <w:bCs/>
          <w:color w:val="auto"/>
          <w:sz w:val="24"/>
          <w:highlight w:val="none"/>
        </w:rPr>
        <w:t xml:space="preserve">   </w:t>
      </w:r>
      <w:r>
        <w:rPr>
          <w:rFonts w:hint="eastAsia" w:ascii="宋体" w:hAnsi="宋体" w:eastAsia="黑体"/>
          <w:b/>
          <w:bCs/>
          <w:color w:val="auto"/>
          <w:sz w:val="28"/>
          <w:highlight w:val="none"/>
        </w:rPr>
        <w:t xml:space="preserve"> </w:t>
      </w:r>
      <w:bookmarkStart w:id="190" w:name="_Toc351203493"/>
      <w:r>
        <w:rPr>
          <w:rFonts w:hint="eastAsia" w:ascii="宋体" w:hAnsi="宋体" w:eastAsia="黑体"/>
          <w:bCs/>
          <w:color w:val="auto"/>
          <w:sz w:val="28"/>
          <w:highlight w:val="none"/>
        </w:rPr>
        <w:t xml:space="preserve">十三、合同份数</w:t>
      </w:r>
      <w:bookmarkEnd w:id="190"/>
      <w:r/>
      <w:r/>
    </w:p>
    <w:p>
      <w:pPr>
        <w:ind w:firstLine="420"/>
        <w:spacing w:line="440" w:lineRule="exact"/>
        <w:rPr>
          <w:rFonts w:hint="eastAsia" w:ascii="宋体" w:hAnsi="宋体"/>
          <w:color w:val="auto"/>
          <w:szCs w:val="21"/>
          <w:highlight w:val="none"/>
        </w:rPr>
      </w:pPr>
      <w:r>
        <w:rPr>
          <w:rFonts w:hint="eastAsia" w:ascii="宋体" w:hAnsi="宋体"/>
          <w:color w:val="auto"/>
          <w:szCs w:val="21"/>
          <w:highlight w:val="none"/>
        </w:rPr>
        <w:t xml:space="preserve">本合同一式</w:t>
      </w:r>
      <w:r>
        <w:rPr>
          <w:rFonts w:hint="eastAsia" w:ascii="宋体" w:hAnsi="宋体"/>
          <w:color w:val="auto"/>
          <w:szCs w:val="21"/>
          <w:highlight w:val="none"/>
          <w:u w:val="single"/>
        </w:rPr>
        <w:t xml:space="preserve">伍</w:t>
      </w:r>
      <w:r>
        <w:rPr>
          <w:rFonts w:hint="eastAsia" w:ascii="宋体" w:hAnsi="宋体"/>
          <w:color w:val="auto"/>
          <w:szCs w:val="21"/>
          <w:highlight w:val="none"/>
        </w:rPr>
        <w:t xml:space="preserve">份，均具有同等法律效力，发包人执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份，承包人执</w:t>
      </w:r>
      <w:r>
        <w:rPr>
          <w:rFonts w:hint="eastAsia" w:ascii="宋体" w:hAnsi="宋体"/>
          <w:color w:val="auto"/>
          <w:szCs w:val="21"/>
          <w:highlight w:val="none"/>
          <w:u w:val="single"/>
        </w:rPr>
        <w:t xml:space="preserve">贰</w:t>
      </w:r>
      <w:r>
        <w:rPr>
          <w:rFonts w:hint="eastAsia" w:ascii="宋体" w:hAnsi="宋体"/>
          <w:color w:val="auto"/>
          <w:szCs w:val="21"/>
          <w:highlight w:val="none"/>
        </w:rPr>
        <w:t xml:space="preserve">份，相关部门执</w:t>
      </w:r>
      <w:r>
        <w:rPr>
          <w:rFonts w:hint="eastAsia" w:ascii="宋体" w:hAnsi="宋体"/>
          <w:color w:val="auto"/>
          <w:szCs w:val="21"/>
          <w:highlight w:val="none"/>
          <w:u w:val="single"/>
        </w:rPr>
        <w:t xml:space="preserve">壹</w:t>
      </w:r>
      <w:r>
        <w:rPr>
          <w:rFonts w:hint="eastAsia" w:ascii="宋体" w:hAnsi="宋体"/>
          <w:color w:val="auto"/>
          <w:szCs w:val="21"/>
          <w:highlight w:val="none"/>
        </w:rPr>
        <w:t xml:space="preserve">份。</w:t>
      </w:r>
      <w:r/>
    </w:p>
    <w:p>
      <w:pPr>
        <w:spacing w:line="440" w:lineRule="exact"/>
        <w:rPr>
          <w:rFonts w:hint="eastAsia" w:ascii="Times New Roman" w:hAnsi="Times New Roman" w:eastAsia="仿宋_GB2312"/>
          <w:color w:val="auto"/>
          <w:sz w:val="24"/>
          <w:szCs w:val="21"/>
          <w:highlight w:val="none"/>
        </w:rPr>
      </w:pPr>
      <w:r>
        <w:rPr>
          <w:rFonts w:hint="eastAsia" w:ascii="Times New Roman" w:hAnsi="Times New Roman" w:eastAsia="仿宋_GB2312"/>
          <w:color w:val="auto"/>
          <w:sz w:val="24"/>
          <w:szCs w:val="21"/>
          <w:highlight w:val="none"/>
        </w:rPr>
      </w:r>
      <w:r/>
    </w:p>
    <w:p>
      <w:pPr>
        <w:ind w:firstLine="840"/>
        <w:spacing w:line="440" w:lineRule="exact"/>
        <w:rPr>
          <w:rFonts w:hint="eastAsia" w:ascii="宋体" w:hAnsi="宋体"/>
          <w:color w:val="auto"/>
          <w:szCs w:val="21"/>
          <w:highlight w:val="none"/>
        </w:rPr>
      </w:pPr>
      <w:r>
        <w:rPr>
          <w:rFonts w:hint="eastAsia" w:ascii="宋体" w:hAnsi="宋体"/>
          <w:color w:val="auto"/>
          <w:szCs w:val="21"/>
          <w:highlight w:val="none"/>
        </w:rPr>
        <w:t xml:space="preserve">发包人：  (公章)                      承包人：  (公章)</w:t>
      </w:r>
      <w:r/>
    </w:p>
    <w:p>
      <w:pPr>
        <w:spacing w:line="440" w:lineRule="exact"/>
        <w:rPr>
          <w:rFonts w:hint="eastAsia" w:ascii="宋体" w:hAnsi="宋体"/>
          <w:color w:val="auto"/>
          <w:szCs w:val="21"/>
          <w:highlight w:val="none"/>
          <w:u w:val="single"/>
        </w:rPr>
      </w:pPr>
      <w:r>
        <w:rPr>
          <w:rFonts w:hint="eastAsia" w:ascii="宋体" w:hAnsi="宋体"/>
          <w:color w:val="auto"/>
          <w:szCs w:val="21"/>
          <w:highlight w:val="none"/>
        </w:rPr>
        <w:t xml:space="preserve">                                 </w:t>
      </w:r>
      <w:r/>
    </w:p>
    <w:p>
      <w:pPr>
        <w:ind w:firstLine="840"/>
        <w:spacing w:line="440" w:lineRule="exact"/>
        <w:rPr>
          <w:rFonts w:hint="eastAsia" w:ascii="宋体" w:hAnsi="宋体"/>
          <w:color w:val="auto"/>
          <w:szCs w:val="21"/>
          <w:highlight w:val="none"/>
        </w:rPr>
      </w:pPr>
      <w:r>
        <w:rPr>
          <w:rFonts w:hint="eastAsia" w:ascii="宋体" w:hAnsi="宋体"/>
          <w:color w:val="auto"/>
          <w:szCs w:val="21"/>
          <w:highlight w:val="none"/>
        </w:rPr>
        <w:t xml:space="preserve">法定代表人或其委托代理人：            法定代表人或其委托代理人：</w:t>
      </w:r>
      <w:r/>
    </w:p>
    <w:p>
      <w:pPr>
        <w:ind w:firstLine="840"/>
        <w:spacing w:line="440" w:lineRule="exact"/>
        <w:rPr>
          <w:rFonts w:hint="eastAsia" w:ascii="宋体" w:hAnsi="宋体"/>
          <w:color w:val="auto"/>
          <w:szCs w:val="21"/>
          <w:highlight w:val="none"/>
          <w:u w:val="single"/>
        </w:rPr>
      </w:pPr>
      <w:r>
        <w:rPr>
          <w:rFonts w:hint="eastAsia" w:ascii="宋体" w:hAnsi="宋体"/>
          <w:color w:val="auto"/>
          <w:szCs w:val="21"/>
          <w:highlight w:val="none"/>
        </w:rPr>
        <w:t xml:space="preserve">（签字）                               （签字）</w:t>
      </w:r>
      <w:r/>
    </w:p>
    <w:p>
      <w:pPr>
        <w:ind w:firstLine="630"/>
        <w:spacing w:line="440" w:lineRule="exact"/>
        <w:tabs>
          <w:tab w:val="left" w:pos="4410" w:leader="none"/>
        </w:tabs>
        <w:rPr>
          <w:rFonts w:hint="eastAsia" w:ascii="宋体" w:hAnsi="宋体"/>
          <w:color w:val="auto"/>
          <w:szCs w:val="21"/>
          <w:highlight w:val="none"/>
        </w:rPr>
      </w:pPr>
      <w:r>
        <w:rPr>
          <w:rFonts w:hint="eastAsia" w:ascii="宋体" w:hAnsi="宋体"/>
          <w:color w:val="auto"/>
          <w:szCs w:val="21"/>
          <w:highlight w:val="none"/>
        </w:rPr>
        <w:t xml:space="preserve">组织机构代码：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组织机构代码：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地  址：</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邮政编码：</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法定代表人：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委托代理人：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委托代理人：</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  话：</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传  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传  真：</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电子信箱：</w:t>
      </w:r>
      <w:r>
        <w:rPr>
          <w:rFonts w:hint="eastAsia" w:ascii="宋体" w:hAnsi="宋体"/>
          <w:color w:val="auto"/>
          <w:szCs w:val="21"/>
          <w:highlight w:val="none"/>
          <w:u w:val="single"/>
        </w:rPr>
        <w:t xml:space="preserve">                       </w:t>
      </w:r>
      <w:r/>
    </w:p>
    <w:p>
      <w:pPr>
        <w:ind w:firstLine="630"/>
        <w:spacing w:line="440" w:lineRule="exact"/>
        <w:rPr>
          <w:rFonts w:hint="eastAsia" w:ascii="宋体" w:hAnsi="宋体"/>
          <w:color w:val="auto"/>
          <w:szCs w:val="21"/>
          <w:highlight w:val="none"/>
        </w:rPr>
      </w:pPr>
      <w:r>
        <w:rPr>
          <w:rFonts w:hint="eastAsia" w:ascii="宋体" w:hAnsi="宋体"/>
          <w:color w:val="auto"/>
          <w:szCs w:val="21"/>
          <w:highlight w:val="none"/>
        </w:rPr>
        <w:t xml:space="preserve">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开户银行：</w:t>
      </w:r>
      <w:r>
        <w:rPr>
          <w:rFonts w:hint="eastAsia" w:ascii="宋体" w:hAnsi="宋体"/>
          <w:color w:val="auto"/>
          <w:szCs w:val="21"/>
          <w:highlight w:val="none"/>
          <w:u w:val="single"/>
        </w:rPr>
        <w:t xml:space="preserve">                       </w:t>
      </w:r>
      <w:r/>
    </w:p>
    <w:p>
      <w:pPr>
        <w:ind w:firstLine="630"/>
        <w:spacing w:line="44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账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账  号：</w:t>
      </w:r>
      <w:r>
        <w:rPr>
          <w:rFonts w:hint="eastAsia" w:ascii="宋体" w:hAnsi="宋体"/>
          <w:color w:val="auto"/>
          <w:szCs w:val="21"/>
          <w:highlight w:val="none"/>
          <w:u w:val="single"/>
        </w:rPr>
        <w:t xml:space="preserve">                    </w:t>
      </w:r>
      <w:r>
        <w:rPr>
          <w:rFonts w:hint="eastAsia" w:ascii="Times New Roman" w:hAnsi="Times New Roman" w:eastAsia="仿宋_GB2312"/>
          <w:color w:val="auto"/>
          <w:sz w:val="24"/>
          <w:szCs w:val="21"/>
          <w:highlight w:val="none"/>
          <w:u w:val="single"/>
        </w:rPr>
        <w:t xml:space="preserve"> </w:t>
      </w:r>
      <w:r>
        <w:rPr>
          <w:rFonts w:ascii="Times New Roman" w:hAnsi="Times New Roman" w:eastAsia="仿宋_GB2312"/>
          <w:color w:val="auto"/>
          <w:sz w:val="24"/>
          <w:szCs w:val="21"/>
          <w:highlight w:val="none"/>
          <w:u w:val="single"/>
        </w:rPr>
        <w:t xml:space="preserve">  </w:t>
      </w:r>
      <w:r>
        <w:rPr>
          <w:rFonts w:hint="eastAsia" w:ascii="Times New Roman" w:hAnsi="Times New Roman" w:eastAsia="仿宋_GB2312"/>
          <w:color w:val="auto"/>
          <w:sz w:val="24"/>
          <w:szCs w:val="21"/>
          <w:highlight w:val="none"/>
          <w:u w:val="single"/>
        </w:rPr>
        <w:t xml:space="preserve"> </w:t>
      </w:r>
      <w:r/>
    </w:p>
    <w:p>
      <w:pPr>
        <w:jc w:val="center"/>
        <w:keepLines/>
        <w:keepNext/>
        <w:spacing w:before="260" w:after="260" w:line="416" w:lineRule="auto"/>
        <w:rPr>
          <w:rFonts w:hint="eastAsia" w:ascii="华文中宋" w:hAnsi="华文中宋" w:eastAsia="华文中宋"/>
          <w:b/>
          <w:color w:val="auto"/>
          <w:sz w:val="36"/>
          <w:szCs w:val="24"/>
          <w:highlight w:val="none"/>
        </w:rPr>
        <w:outlineLvl w:val="2"/>
      </w:pPr>
      <w:r>
        <w:rPr>
          <w:rFonts w:ascii="Times New Roman" w:hAnsi="Times New Roman" w:eastAsia="仿宋_GB2312"/>
          <w:b/>
          <w:color w:val="auto"/>
          <w:sz w:val="18"/>
          <w:szCs w:val="24"/>
          <w:highlight w:val="none"/>
        </w:rPr>
        <w:br w:type="page" w:clear="all"/>
      </w:r>
      <w:bookmarkStart w:id="191" w:name="_Toc351203494"/>
      <w:r/>
      <w:bookmarkStart w:id="192" w:name="_Toc28167"/>
      <w:r>
        <w:rPr>
          <w:rFonts w:hint="eastAsia" w:ascii="宋体" w:hAnsi="宋体"/>
          <w:b/>
          <w:color w:val="auto"/>
          <w:sz w:val="24"/>
          <w:szCs w:val="24"/>
          <w:highlight w:val="none"/>
        </w:rPr>
        <w:t xml:space="preserve">第二部分 通用合同条款</w:t>
      </w:r>
      <w:bookmarkEnd w:id="191"/>
      <w:r/>
      <w:bookmarkEnd w:id="192"/>
      <w:r/>
      <w:bookmarkStart w:id="193" w:name="_Toc337558727"/>
      <w:r/>
      <w:bookmarkEnd w:id="193"/>
      <w:r/>
      <w:r/>
    </w:p>
    <w:p>
      <w:pPr>
        <w:ind w:firstLine="422"/>
        <w:jc w:val="center"/>
        <w:spacing w:line="360" w:lineRule="auto"/>
        <w:rPr>
          <w:rFonts w:hint="eastAsia" w:ascii="宋体" w:hAnsi="宋体" w:cs="宋体"/>
          <w:color w:val="auto"/>
          <w:szCs w:val="21"/>
          <w:highlight w:val="none"/>
        </w:rPr>
      </w:pPr>
      <w:r/>
      <w:bookmarkStart w:id="194" w:name="_Toc351203632"/>
      <w:r/>
      <w:bookmarkStart w:id="195" w:name="_Toc25770"/>
      <w:r>
        <w:rPr>
          <w:rFonts w:hint="eastAsia" w:ascii="宋体" w:hAnsi="宋体" w:cs="宋体"/>
          <w:b/>
          <w:color w:val="auto"/>
          <w:szCs w:val="21"/>
          <w:highlight w:val="none"/>
        </w:rPr>
        <w:t xml:space="preserve">《建设工程施工合同（示范文本）》（GF—2017—0201）</w:t>
      </w:r>
      <w:r/>
    </w:p>
    <w:p>
      <w:pPr>
        <w:jc w:val="center"/>
        <w:keepLines/>
        <w:keepNext/>
        <w:spacing w:before="260" w:after="260" w:line="416" w:lineRule="auto"/>
        <w:rPr>
          <w:rFonts w:hint="eastAsia" w:ascii="宋体" w:hAnsi="宋体"/>
          <w:b/>
          <w:color w:val="auto"/>
          <w:sz w:val="24"/>
          <w:szCs w:val="24"/>
          <w:highlight w:val="none"/>
        </w:rPr>
        <w:outlineLvl w:val="2"/>
      </w:pPr>
      <w:r>
        <w:rPr>
          <w:rFonts w:hint="eastAsia" w:ascii="宋体" w:hAnsi="宋体"/>
          <w:b/>
          <w:color w:val="auto"/>
          <w:sz w:val="24"/>
          <w:szCs w:val="24"/>
          <w:highlight w:val="none"/>
        </w:rPr>
        <w:t xml:space="preserve">第三部分 专用合同条款</w:t>
      </w:r>
      <w:bookmarkEnd w:id="194"/>
      <w:r/>
      <w:bookmarkEnd w:id="195"/>
      <w:r/>
      <w:r/>
    </w:p>
    <w:p>
      <w:pPr>
        <w:keepLines/>
        <w:keepNext/>
        <w:spacing w:before="120" w:after="120" w:line="400" w:lineRule="exact"/>
        <w:rPr>
          <w:rFonts w:hint="eastAsia" w:ascii="宋体" w:hAnsi="宋体" w:eastAsia="黑体"/>
          <w:b/>
          <w:bCs/>
          <w:color w:val="auto"/>
          <w:sz w:val="28"/>
          <w:highlight w:val="none"/>
        </w:rPr>
        <w:outlineLvl w:val="3"/>
      </w:pPr>
      <w:r/>
      <w:bookmarkStart w:id="196" w:name="_Toc351203633"/>
      <w:r>
        <w:rPr>
          <w:rFonts w:hint="eastAsia" w:ascii="宋体" w:hAnsi="宋体" w:eastAsia="黑体"/>
          <w:b/>
          <w:bCs/>
          <w:color w:val="auto"/>
          <w:sz w:val="28"/>
          <w:highlight w:val="none"/>
        </w:rPr>
        <w:t xml:space="preserve">1</w:t>
      </w:r>
      <w:bookmarkStart w:id="197" w:name="_Toc297120456"/>
      <w:r/>
      <w:bookmarkStart w:id="198" w:name="_Toc296346657"/>
      <w:r/>
      <w:bookmarkStart w:id="199" w:name="_Toc292559866"/>
      <w:r/>
      <w:bookmarkStart w:id="200" w:name="_Toc297048342"/>
      <w:r/>
      <w:bookmarkStart w:id="201" w:name="_Toc296890984"/>
      <w:r/>
      <w:bookmarkStart w:id="202" w:name="_Toc296944495"/>
      <w:r/>
      <w:bookmarkStart w:id="203" w:name="_Toc296503156"/>
      <w:r/>
      <w:bookmarkStart w:id="204" w:name="_Toc296347155"/>
      <w:r/>
      <w:bookmarkStart w:id="205" w:name="_Toc292559361"/>
      <w:r/>
      <w:bookmarkStart w:id="206" w:name="_Toc296891196"/>
      <w:r>
        <w:rPr>
          <w:rFonts w:hint="eastAsia" w:ascii="宋体" w:hAnsi="宋体" w:eastAsia="黑体"/>
          <w:b/>
          <w:bCs/>
          <w:color w:val="auto"/>
          <w:sz w:val="28"/>
          <w:highlight w:val="none"/>
        </w:rPr>
        <w:t xml:space="preserve">. 一般约定</w:t>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22"/>
        <w:spacing w:after="120" w:line="400" w:lineRule="exact"/>
        <w:rPr>
          <w:rFonts w:hint="eastAsia" w:ascii="宋体" w:hAnsi="宋体"/>
          <w:b/>
          <w:color w:val="auto"/>
          <w:szCs w:val="21"/>
          <w:highlight w:val="none"/>
        </w:rPr>
        <w:outlineLvl w:val="0"/>
      </w:pPr>
      <w:r/>
      <w:bookmarkStart w:id="207" w:name="_Toc25433"/>
      <w:r/>
      <w:bookmarkStart w:id="208" w:name="_Toc8441"/>
      <w:r>
        <w:rPr>
          <w:rFonts w:hint="eastAsia" w:ascii="宋体" w:hAnsi="宋体"/>
          <w:b/>
          <w:color w:val="auto"/>
          <w:szCs w:val="21"/>
          <w:highlight w:val="none"/>
        </w:rPr>
        <w:t xml:space="preserve">1.1 词语定义</w:t>
      </w:r>
      <w:bookmarkEnd w:id="207"/>
      <w:r/>
      <w:bookmarkEnd w:id="208"/>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1.1.1合同</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1.1.1.10其他合同文件包括：</w:t>
      </w:r>
      <w:r>
        <w:rPr>
          <w:rFonts w:hint="eastAsia" w:ascii="宋体" w:hAnsi="宋体"/>
          <w:color w:val="auto"/>
          <w:szCs w:val="21"/>
          <w:highlight w:val="none"/>
          <w:u w:val="single"/>
        </w:rPr>
        <w:t xml:space="preserve">经监理工程师、发包人代表签字并经发包人盖章确认的涉及工期、质量、价款调整内容的签证单、联系函、技术核定单等。</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 合同当事人及其他相关方</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1.1.2.4监理人：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1.1.2.5 设计人：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名    称：</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资质类别和等级：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 工程和设备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1.1.3.7 作为施工现场组成部分的其他场所包括：</w:t>
      </w:r>
      <w:r>
        <w:rPr>
          <w:rFonts w:hint="eastAsia" w:ascii="宋体" w:hAnsi="宋体"/>
          <w:color w:val="auto"/>
          <w:szCs w:val="21"/>
          <w:highlight w:val="none"/>
          <w:u w:val="single"/>
        </w:rPr>
        <w:t xml:space="preserve"> </w:t>
      </w:r>
      <w:r>
        <w:rPr>
          <w:rFonts w:hint="eastAsia" w:ascii="宋体" w:hAnsi="宋体" w:cs="宋体"/>
          <w:color w:val="auto"/>
          <w:szCs w:val="21"/>
          <w:highlight w:val="none"/>
          <w:u w:val="single"/>
        </w:rPr>
        <w:t xml:space="preserve">按现状，由承包人现场勘查，自行处理，且费用已包含在合同价款中，具体按招标文件的规定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1.1.3.9 永久占地包括：</w:t>
      </w:r>
      <w:r>
        <w:rPr>
          <w:rFonts w:hint="eastAsia" w:ascii="宋体" w:hAnsi="宋体"/>
          <w:color w:val="auto"/>
          <w:szCs w:val="21"/>
          <w:highlight w:val="none"/>
          <w:u w:val="single"/>
        </w:rPr>
        <w:t xml:space="preserve">发包人项目红线范围内的用地</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1.1.3.10 临时占地包括：</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1.3法律 </w:t>
      </w:r>
      <w:r/>
    </w:p>
    <w:p>
      <w:pPr>
        <w:ind w:firstLine="420"/>
        <w:spacing w:after="120"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适用于合同的其他规范性文件：</w:t>
      </w:r>
      <w:r>
        <w:rPr>
          <w:rFonts w:hint="eastAsia" w:ascii="宋体" w:hAnsi="宋体"/>
          <w:color w:val="auto"/>
          <w:szCs w:val="21"/>
          <w:highlight w:val="none"/>
          <w:u w:val="single"/>
        </w:rPr>
        <w:t xml:space="preserve">《中华人民共和国建筑法》、《中华人民共和国</w:t>
      </w:r>
      <w:r>
        <w:rPr>
          <w:rFonts w:ascii="宋体" w:hAnsi="宋体"/>
          <w:color w:val="auto"/>
          <w:szCs w:val="21"/>
          <w:highlight w:val="none"/>
          <w:u w:val="single"/>
        </w:rPr>
        <w:t xml:space="preserve">民法典</w:t>
      </w:r>
      <w:r>
        <w:rPr>
          <w:rFonts w:hint="eastAsia" w:ascii="宋体" w:hAnsi="宋体"/>
          <w:color w:val="auto"/>
          <w:szCs w:val="21"/>
          <w:highlight w:val="none"/>
          <w:u w:val="single"/>
        </w:rPr>
        <w:t xml:space="preserve">》、《中华人民共和国招标投标法》、《建设工程安全生产管理条例》、《民用建筑节能条例》、七部委第12号令《评标委员会和评标方法暂行规定》、建设部第89号令《房屋建筑和市政基础设施工程施工招标投标管理办法》、七部委第30号令《工程建设项目施工招标投标办法》、国务院第279号令《建设工程质量管理条例》、《江苏省工程建设管理条》、《江苏省建筑市场管理条例》等。</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1.4 标准和规范</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1.4.1适用于工程的标准规范包括：</w:t>
      </w:r>
      <w:r>
        <w:rPr>
          <w:rFonts w:hint="eastAsia" w:ascii="宋体" w:hAnsi="宋体" w:cs="宋体"/>
          <w:color w:val="auto"/>
          <w:szCs w:val="21"/>
          <w:highlight w:val="none"/>
          <w:u w:val="single"/>
        </w:rPr>
        <w:t xml:space="preserve">施工及验收规范，</w:t>
      </w:r>
      <w:r>
        <w:rPr>
          <w:rFonts w:hint="eastAsia" w:ascii="宋体" w:hAnsi="宋体"/>
          <w:color w:val="auto"/>
          <w:szCs w:val="21"/>
          <w:highlight w:val="none"/>
          <w:u w:val="single"/>
        </w:rPr>
        <w:t xml:space="preserve">现行建筑工程相关的规范、规程、标准、规定、图集等。</w:t>
      </w:r>
      <w:r/>
    </w:p>
    <w:p>
      <w:pPr>
        <w:ind w:firstLine="420"/>
        <w:spacing w:after="120" w:line="400" w:lineRule="exact"/>
        <w:rPr>
          <w:rFonts w:hint="eastAsia" w:ascii="宋体" w:hAnsi="宋体"/>
          <w:color w:val="auto"/>
          <w:szCs w:val="21"/>
          <w:highlight w:val="none"/>
        </w:rPr>
      </w:pPr>
      <w:r/>
      <w:bookmarkStart w:id="209" w:name="_Toc28477"/>
      <w:r/>
      <w:bookmarkStart w:id="210" w:name="_Toc26265"/>
      <w:r>
        <w:rPr>
          <w:rFonts w:hint="eastAsia" w:ascii="宋体" w:hAnsi="宋体"/>
          <w:color w:val="auto"/>
          <w:szCs w:val="21"/>
          <w:highlight w:val="none"/>
        </w:rPr>
        <w:t xml:space="preserve">1.4.2 发包人提供国外标准、规范的名称：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bookmarkEnd w:id="209"/>
      <w:r/>
      <w:bookmarkEnd w:id="210"/>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发包人提供国外标准、规范的份数：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发包人提供国外标准、规范的名称：</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 。</w:t>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1.4.3发包人对工程的技术标准和功能要求的特殊要求：</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1" w:name="_Toc26496"/>
      <w:r/>
      <w:bookmarkStart w:id="212" w:name="_Toc8179"/>
      <w:r>
        <w:rPr>
          <w:rFonts w:hint="eastAsia" w:ascii="宋体" w:hAnsi="宋体"/>
          <w:b/>
          <w:color w:val="auto"/>
          <w:szCs w:val="21"/>
          <w:highlight w:val="none"/>
        </w:rPr>
        <w:t xml:space="preserve">1.5 合同文件的优先顺序</w:t>
      </w:r>
      <w:bookmarkEnd w:id="211"/>
      <w:r/>
      <w:bookmarkEnd w:id="212"/>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合同文件组成及优先顺序为：</w:t>
      </w:r>
      <w:r>
        <w:rPr>
          <w:rFonts w:hint="eastAsia" w:ascii="宋体" w:hAnsi="宋体"/>
          <w:color w:val="auto"/>
          <w:szCs w:val="21"/>
          <w:highlight w:val="none"/>
          <w:u w:val="single"/>
        </w:rPr>
        <w:t xml:space="preserve">（1）合同协议书；（2）中标通知书（如果有）；（3）投标函及其附录（如果有）；（4）专用合同条款及其附件；（5）通用合同条款；（6）技术标准和要求；（7）图纸；（8）已标价的工程量清单或预算书；（9）其他合同文件</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3" w:name="_Toc4315"/>
      <w:r/>
      <w:bookmarkStart w:id="214" w:name="_Toc13932"/>
      <w:r>
        <w:rPr>
          <w:rFonts w:hint="eastAsia" w:ascii="宋体" w:hAnsi="宋体"/>
          <w:b/>
          <w:color w:val="auto"/>
          <w:szCs w:val="21"/>
          <w:highlight w:val="none"/>
        </w:rPr>
        <w:t xml:space="preserve">1.6 图纸和承包人文件</w:t>
      </w:r>
      <w:bookmarkEnd w:id="213"/>
      <w:r/>
      <w:bookmarkEnd w:id="214"/>
      <w:r>
        <w:rPr>
          <w:rFonts w:hint="eastAsia" w:ascii="宋体" w:hAnsi="宋体"/>
          <w:b/>
          <w:color w:val="auto"/>
          <w:szCs w:val="21"/>
          <w:highlight w:val="none"/>
        </w:rPr>
        <w:tab/>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1.6.1 图纸的提供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发包人向承包人提供图纸的期限：</w:t>
      </w:r>
      <w:r>
        <w:rPr>
          <w:rFonts w:hint="eastAsia" w:ascii="宋体" w:hAnsi="宋体"/>
          <w:color w:val="auto"/>
          <w:szCs w:val="21"/>
          <w:highlight w:val="none"/>
          <w:u w:val="single"/>
        </w:rPr>
        <w:t xml:space="preserve">工程开工前</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发包人向承包人提供图纸的数量：</w:t>
      </w:r>
      <w:r>
        <w:rPr>
          <w:rFonts w:hint="eastAsia" w:ascii="宋体" w:hAnsi="宋体"/>
          <w:color w:val="auto"/>
          <w:szCs w:val="21"/>
          <w:highlight w:val="none"/>
          <w:u w:val="single"/>
        </w:rPr>
        <w:t xml:space="preserve">陆套（包含招标时一套），承包人用于制作竣工图纸的也包含在内，发包人不再提供图纸</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发包人向承包人提供图纸的内容：</w:t>
      </w:r>
      <w:r>
        <w:rPr>
          <w:rFonts w:hint="eastAsia" w:ascii="宋体" w:hAnsi="宋体"/>
          <w:color w:val="auto"/>
          <w:szCs w:val="21"/>
          <w:highlight w:val="none"/>
          <w:u w:val="single"/>
        </w:rPr>
        <w:t xml:space="preserve">本合同承包范围内的全部工程的施工图纸</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1.6.4 承包人文件</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需要由承包人提供的文件，包括：</w:t>
      </w:r>
      <w:r>
        <w:rPr>
          <w:rFonts w:hint="eastAsia" w:ascii="宋体" w:hAnsi="宋体"/>
          <w:color w:val="auto"/>
          <w:szCs w:val="21"/>
          <w:highlight w:val="none"/>
          <w:u w:val="single"/>
        </w:rPr>
        <w:t xml:space="preserve">开工前7天提供施工组织设计、工程总进度计划，每月25日下午5点前提供详细的施工进度计划、已完工程量报表（含工程变更及签证预算）、承包人自购材料清单、认质认价材料清单、材料进场计划、劳动力等资料。分项的施工组织设计施工方案在该分项开工前7天向发包人提供。专项施工方案等在施工日前15天提交；其它文件如大样图、协调配合图等由承包人根据发包人、监理人要求和本工程的实际需要编制、提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承包人提供的文件的期限为：</w:t>
      </w:r>
      <w:r>
        <w:rPr>
          <w:rFonts w:hint="eastAsia" w:ascii="宋体" w:hAnsi="宋体"/>
          <w:color w:val="auto"/>
          <w:szCs w:val="21"/>
          <w:highlight w:val="none"/>
          <w:u w:val="single"/>
        </w:rPr>
        <w:t xml:space="preserve">      同上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承包人提供的文件的数量为：</w:t>
      </w:r>
      <w:r>
        <w:rPr>
          <w:rFonts w:hint="eastAsia" w:ascii="宋体" w:hAnsi="宋体"/>
          <w:color w:val="auto"/>
          <w:szCs w:val="21"/>
          <w:highlight w:val="none"/>
          <w:u w:val="single"/>
        </w:rPr>
        <w:t xml:space="preserve">      一式四套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承包人提供的文件的形式为：</w:t>
      </w:r>
      <w:r>
        <w:rPr>
          <w:rFonts w:hint="eastAsia" w:ascii="宋体" w:hAnsi="宋体"/>
          <w:color w:val="auto"/>
          <w:szCs w:val="21"/>
          <w:highlight w:val="none"/>
          <w:u w:val="single"/>
        </w:rPr>
        <w:t xml:space="preserve">   书面版和电子版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发包人审批承包人文件的期限：</w:t>
      </w:r>
      <w:r>
        <w:rPr>
          <w:rFonts w:hint="eastAsia" w:ascii="宋体" w:hAnsi="宋体"/>
          <w:color w:val="auto"/>
          <w:szCs w:val="21"/>
          <w:highlight w:val="none"/>
          <w:u w:val="single"/>
        </w:rPr>
        <w:t xml:space="preserve"> 书面版和电子版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1.6.5 现场图纸准备</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关于现场图纸准备的约定：</w:t>
      </w:r>
      <w:r>
        <w:rPr>
          <w:rFonts w:hint="eastAsia" w:ascii="宋体" w:hAnsi="宋体"/>
          <w:color w:val="auto"/>
          <w:szCs w:val="21"/>
          <w:highlight w:val="none"/>
          <w:u w:val="single"/>
        </w:rPr>
        <w:t xml:space="preserve">由承包人负责准备现场图纸</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5" w:name="_Toc16372"/>
      <w:r/>
      <w:bookmarkStart w:id="216" w:name="_Toc29815"/>
      <w:r>
        <w:rPr>
          <w:rFonts w:hint="eastAsia" w:ascii="宋体" w:hAnsi="宋体"/>
          <w:b/>
          <w:color w:val="auto"/>
          <w:szCs w:val="21"/>
          <w:highlight w:val="none"/>
        </w:rPr>
        <w:t xml:space="preserve">1.7 联络</w:t>
      </w:r>
      <w:bookmarkEnd w:id="215"/>
      <w:r/>
      <w:bookmarkEnd w:id="21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1.7.1发包人和承包人应当在</w:t>
      </w:r>
      <w:r>
        <w:rPr>
          <w:rFonts w:hint="eastAsia" w:ascii="宋体" w:hAnsi="宋体"/>
          <w:color w:val="auto"/>
          <w:szCs w:val="21"/>
          <w:highlight w:val="none"/>
          <w:u w:val="single"/>
        </w:rPr>
        <w:t xml:space="preserve">3</w:t>
      </w:r>
      <w:r>
        <w:rPr>
          <w:rFonts w:hint="eastAsia" w:ascii="宋体" w:hAnsi="宋体"/>
          <w:color w:val="auto"/>
          <w:szCs w:val="21"/>
          <w:highlight w:val="none"/>
        </w:rPr>
        <w:t xml:space="preserve">天内将与合同有关的通知、批准、证明、证书、指示、指令、要求、请求、同意、意见、确定和决定等书面函件送达对方当事人。</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1.7.2 发包人接收文件的地点：</w:t>
      </w:r>
      <w:r>
        <w:rPr>
          <w:rFonts w:hint="eastAsia" w:ascii="宋体" w:hAnsi="宋体"/>
          <w:color w:val="auto"/>
          <w:szCs w:val="21"/>
          <w:highlight w:val="none"/>
          <w:u w:val="single"/>
        </w:rPr>
        <w:t xml:space="preserve">发包人办公室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承包人接收文件的地点：</w:t>
      </w:r>
      <w:r>
        <w:rPr>
          <w:rFonts w:hint="eastAsia" w:ascii="宋体" w:hAnsi="宋体"/>
          <w:color w:val="auto"/>
          <w:szCs w:val="21"/>
          <w:highlight w:val="none"/>
          <w:u w:val="single"/>
        </w:rPr>
        <w:t xml:space="preserve">项目现场办公室或承包人住所地</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承包人指定的接收人为：</w:t>
      </w:r>
      <w:r>
        <w:rPr>
          <w:rFonts w:hint="eastAsia" w:ascii="宋体" w:hAnsi="宋体"/>
          <w:color w:val="auto"/>
          <w:szCs w:val="21"/>
          <w:highlight w:val="none"/>
          <w:u w:val="single"/>
        </w:rPr>
        <w:t xml:space="preserve">项目部人员</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监理人接收文件的地点：</w:t>
      </w:r>
      <w:r>
        <w:rPr>
          <w:rFonts w:hint="eastAsia" w:ascii="宋体" w:hAnsi="宋体"/>
          <w:color w:val="auto"/>
          <w:szCs w:val="21"/>
          <w:highlight w:val="none"/>
          <w:u w:val="single"/>
        </w:rPr>
        <w:t xml:space="preserve">项目现场办公室</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监理人指定的接收人为：</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outlineLvl w:val="0"/>
      </w:pPr>
      <w:r/>
      <w:bookmarkStart w:id="217" w:name="_Toc16100"/>
      <w:r/>
      <w:bookmarkStart w:id="218" w:name="_Toc10326"/>
      <w:r>
        <w:rPr>
          <w:rFonts w:hint="eastAsia" w:ascii="宋体" w:hAnsi="宋体"/>
          <w:b/>
          <w:color w:val="auto"/>
          <w:szCs w:val="21"/>
          <w:highlight w:val="none"/>
        </w:rPr>
        <w:t xml:space="preserve">1.10 交通运输</w:t>
      </w:r>
      <w:bookmarkEnd w:id="217"/>
      <w:r/>
      <w:bookmarkEnd w:id="218"/>
      <w:r/>
      <w:r/>
    </w:p>
    <w:p>
      <w:pPr>
        <w:ind w:firstLine="420"/>
        <w:spacing w:line="400" w:lineRule="exact"/>
        <w:rPr>
          <w:rFonts w:hint="eastAsia" w:ascii="宋体" w:hAnsi="宋体"/>
          <w:color w:val="auto"/>
          <w:szCs w:val="21"/>
          <w:highlight w:val="none"/>
        </w:rPr>
        <w:outlineLvl w:val="0"/>
      </w:pPr>
      <w:r/>
      <w:bookmarkStart w:id="219" w:name="_Toc11155"/>
      <w:r/>
      <w:bookmarkStart w:id="220" w:name="_Toc13353"/>
      <w:r>
        <w:rPr>
          <w:rFonts w:hint="eastAsia" w:ascii="宋体" w:hAnsi="宋体"/>
          <w:color w:val="auto"/>
          <w:szCs w:val="21"/>
          <w:highlight w:val="none"/>
        </w:rPr>
        <w:t xml:space="preserve">1</w:t>
      </w:r>
      <w:bookmarkStart w:id="221" w:name="_Toc312677986"/>
      <w:r/>
      <w:bookmarkStart w:id="222" w:name="_Toc304295521"/>
      <w:r/>
      <w:bookmarkStart w:id="223" w:name="_Toc300934943"/>
      <w:r/>
      <w:bookmarkStart w:id="224" w:name="_Toc303539100"/>
      <w:r/>
      <w:bookmarkStart w:id="225" w:name="_Toc318581155"/>
      <w:r>
        <w:rPr>
          <w:rFonts w:hint="eastAsia" w:ascii="宋体" w:hAnsi="宋体"/>
          <w:color w:val="auto"/>
          <w:szCs w:val="21"/>
          <w:highlight w:val="none"/>
        </w:rPr>
        <w:t xml:space="preserve">.10.1 出入现场的权利</w:t>
      </w:r>
      <w:bookmarkEnd w:id="219"/>
      <w:r/>
      <w:bookmarkEnd w:id="220"/>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关于出入现场的权利的约定：</w:t>
      </w:r>
      <w:r>
        <w:rPr>
          <w:rFonts w:hint="eastAsia" w:ascii="宋体" w:hAnsi="宋体" w:cs="宋体"/>
          <w:color w:val="auto"/>
          <w:szCs w:val="21"/>
          <w:highlight w:val="none"/>
          <w:u w:val="single"/>
        </w:rPr>
        <w:t xml:space="preserve">承包人应在招标前认真踏勘施工现场，发包人按现状交付承包人施工且进场时需处理的施工便道、障碍物、建筑垃圾处理等费用已包含在合同价款中</w:t>
      </w:r>
      <w:r>
        <w:rPr>
          <w:rFonts w:hint="eastAsia" w:ascii="宋体" w:hAnsi="宋体"/>
          <w:color w:val="auto"/>
          <w:szCs w:val="21"/>
          <w:highlight w:val="none"/>
          <w:u w:val="single"/>
        </w:rPr>
        <w:t xml:space="preserve">。</w:t>
      </w:r>
      <w:bookmarkEnd w:id="221"/>
      <w:r/>
      <w:bookmarkEnd w:id="222"/>
      <w:r/>
      <w:bookmarkEnd w:id="223"/>
      <w:r/>
      <w:bookmarkEnd w:id="224"/>
      <w:r/>
      <w:bookmarkEnd w:id="225"/>
      <w:r/>
      <w:r/>
    </w:p>
    <w:p>
      <w:pPr>
        <w:ind w:firstLine="420"/>
        <w:jc w:val="left"/>
        <w:spacing w:line="400" w:lineRule="exact"/>
        <w:rPr>
          <w:rFonts w:hint="eastAsia" w:ascii="宋体" w:hAnsi="宋体"/>
          <w:color w:val="auto"/>
          <w:szCs w:val="21"/>
          <w:highlight w:val="none"/>
        </w:rPr>
        <w:outlineLvl w:val="0"/>
      </w:pPr>
      <w:r/>
      <w:bookmarkStart w:id="226" w:name="_Toc21630"/>
      <w:r/>
      <w:bookmarkStart w:id="227" w:name="_Toc28687"/>
      <w:r>
        <w:rPr>
          <w:rFonts w:hint="eastAsia" w:ascii="宋体" w:hAnsi="宋体"/>
          <w:color w:val="auto"/>
          <w:szCs w:val="21"/>
          <w:highlight w:val="none"/>
        </w:rPr>
        <w:t xml:space="preserve">1</w:t>
      </w:r>
      <w:bookmarkStart w:id="228" w:name="_Toc300934944"/>
      <w:r/>
      <w:bookmarkStart w:id="229" w:name="_Toc318581156"/>
      <w:r/>
      <w:bookmarkStart w:id="230" w:name="_Toc304295522"/>
      <w:r/>
      <w:bookmarkStart w:id="231" w:name="_Toc303539101"/>
      <w:r/>
      <w:bookmarkStart w:id="232" w:name="_Toc312677987"/>
      <w:r>
        <w:rPr>
          <w:rFonts w:hint="eastAsia" w:ascii="宋体" w:hAnsi="宋体"/>
          <w:color w:val="auto"/>
          <w:szCs w:val="21"/>
          <w:highlight w:val="none"/>
        </w:rPr>
        <w:t xml:space="preserve">.10.3 场内交通</w:t>
      </w:r>
      <w:bookmarkEnd w:id="226"/>
      <w:r/>
      <w:bookmarkEnd w:id="227"/>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关于场外交通和场内交通的边界的约定：</w:t>
      </w:r>
      <w:r>
        <w:rPr>
          <w:rFonts w:hint="eastAsia" w:ascii="宋体" w:hAnsi="宋体"/>
          <w:color w:val="auto"/>
          <w:szCs w:val="21"/>
          <w:highlight w:val="none"/>
          <w:u w:val="single"/>
        </w:rPr>
        <w:t xml:space="preserve">发包人的用地红线范围为边界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关于发包人向承包人免费提供满足工程施工需要的场内道路和交通设施的约定：</w:t>
      </w:r>
      <w:bookmarkEnd w:id="228"/>
      <w:r/>
      <w:bookmarkEnd w:id="229"/>
      <w:r/>
      <w:bookmarkEnd w:id="230"/>
      <w:r/>
      <w:bookmarkEnd w:id="231"/>
      <w:r/>
      <w:bookmarkEnd w:id="232"/>
      <w:r>
        <w:rPr>
          <w:rFonts w:hint="eastAsia" w:ascii="宋体" w:hAnsi="宋体"/>
          <w:color w:val="auto"/>
          <w:szCs w:val="21"/>
          <w:highlight w:val="none"/>
          <w:u w:val="single"/>
        </w:rPr>
        <w:t xml:space="preserve">均由承包人完成，费用已含在约定的合同价款计价方法中</w:t>
      </w:r>
      <w:r>
        <w:rPr>
          <w:rFonts w:hint="eastAsia" w:ascii="宋体" w:hAnsi="宋体"/>
          <w:color w:val="auto"/>
          <w:szCs w:val="21"/>
          <w:highlight w:val="none"/>
        </w:rPr>
        <w:t xml:space="preserve">。  </w:t>
      </w:r>
      <w:bookmarkStart w:id="233" w:name="_Toc31858115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1.10.4超大件和超重件的运输</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运输超大件或超重件所需的道路和桥梁临时加固改造费用和其他有关费用由</w:t>
      </w:r>
      <w:r>
        <w:rPr>
          <w:rFonts w:hint="eastAsia" w:ascii="宋体" w:hAnsi="宋体"/>
          <w:color w:val="auto"/>
          <w:szCs w:val="21"/>
          <w:highlight w:val="none"/>
          <w:u w:val="single"/>
        </w:rPr>
        <w:t xml:space="preserve">承包人</w:t>
      </w:r>
      <w:r>
        <w:rPr>
          <w:rFonts w:hint="eastAsia" w:ascii="宋体" w:hAnsi="宋体"/>
          <w:color w:val="auto"/>
          <w:szCs w:val="21"/>
          <w:highlight w:val="none"/>
        </w:rPr>
        <w:t xml:space="preserve">承担。</w:t>
      </w:r>
      <w:bookmarkEnd w:id="233"/>
      <w:r/>
      <w:r/>
    </w:p>
    <w:p>
      <w:pPr>
        <w:ind w:firstLine="422"/>
        <w:spacing w:after="120" w:line="400" w:lineRule="exact"/>
        <w:rPr>
          <w:rFonts w:hint="eastAsia" w:ascii="宋体" w:hAnsi="宋体"/>
          <w:b/>
          <w:color w:val="auto"/>
          <w:szCs w:val="21"/>
          <w:highlight w:val="none"/>
        </w:rPr>
        <w:outlineLvl w:val="0"/>
      </w:pPr>
      <w:r/>
      <w:bookmarkStart w:id="234" w:name="_Toc21577"/>
      <w:r/>
      <w:bookmarkStart w:id="235" w:name="_Toc21358"/>
      <w:r>
        <w:rPr>
          <w:rFonts w:hint="eastAsia" w:ascii="宋体" w:hAnsi="宋体"/>
          <w:b/>
          <w:color w:val="auto"/>
          <w:szCs w:val="21"/>
          <w:highlight w:val="none"/>
        </w:rPr>
        <w:t xml:space="preserve">1.11 知识产权</w:t>
      </w:r>
      <w:bookmarkEnd w:id="234"/>
      <w:r/>
      <w:bookmarkEnd w:id="235"/>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Cs w:val="21"/>
          <w:highlight w:val="none"/>
          <w:u w:val="single"/>
        </w:rPr>
        <w:t xml:space="preserve">发包人</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关于发包人提供的上述文件的使用限制的要求：/。</w:t>
      </w:r>
      <w:r/>
    </w:p>
    <w:p>
      <w:pPr>
        <w:ind w:firstLine="420"/>
        <w:spacing w:line="400" w:lineRule="exact"/>
        <w:rPr>
          <w:rFonts w:hint="eastAsia" w:ascii="宋体" w:hAnsi="宋体"/>
          <w:color w:val="auto"/>
          <w:szCs w:val="21"/>
          <w:highlight w:val="none"/>
        </w:rPr>
      </w:pPr>
      <w:r/>
      <w:bookmarkStart w:id="236" w:name="_Toc28152"/>
      <w:r/>
      <w:bookmarkStart w:id="237" w:name="_Toc25995"/>
      <w:r>
        <w:rPr>
          <w:rFonts w:hint="eastAsia" w:ascii="宋体" w:hAnsi="宋体"/>
          <w:color w:val="auto"/>
          <w:szCs w:val="21"/>
          <w:highlight w:val="none"/>
        </w:rPr>
        <w:t xml:space="preserve">1.11.2 关于承包人为实施工程所编制文件的著作权的归属：发包人。</w:t>
      </w:r>
      <w:bookmarkEnd w:id="236"/>
      <w:r/>
      <w:bookmarkEnd w:id="237"/>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关于承包人提供的上述文件的使用限制的要求：/。</w:t>
      </w:r>
      <w:r/>
    </w:p>
    <w:p>
      <w:pPr>
        <w:ind w:firstLine="420"/>
        <w:spacing w:line="400" w:lineRule="exact"/>
        <w:rPr>
          <w:rFonts w:hint="eastAsia" w:ascii="宋体" w:hAnsi="宋体"/>
          <w:color w:val="auto"/>
          <w:szCs w:val="21"/>
          <w:highlight w:val="none"/>
        </w:rPr>
        <w:outlineLvl w:val="0"/>
      </w:pPr>
      <w:r/>
      <w:bookmarkStart w:id="238" w:name="_Toc13876"/>
      <w:r/>
      <w:bookmarkStart w:id="239" w:name="_Toc31656"/>
      <w:r>
        <w:rPr>
          <w:rFonts w:hint="eastAsia" w:ascii="宋体" w:hAnsi="宋体"/>
          <w:color w:val="auto"/>
          <w:szCs w:val="21"/>
          <w:highlight w:val="none"/>
        </w:rPr>
        <w:t xml:space="preserve">1.11.4 承包人在施工过程中所采用的专利、专有技术、技术秘密的使用费的承担方式：</w:t>
      </w:r>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bookmarkEnd w:id="238"/>
      <w:r/>
      <w:bookmarkEnd w:id="239"/>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1.13工程量清单错误的修正</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出现工程量清单错误时，是否调整合同价格：</w:t>
      </w:r>
      <w:r>
        <w:rPr>
          <w:rFonts w:hint="eastAsia" w:ascii="宋体" w:hAnsi="宋体"/>
          <w:color w:val="auto"/>
          <w:szCs w:val="21"/>
          <w:highlight w:val="none"/>
          <w:u w:val="single"/>
        </w:rPr>
        <w:t xml:space="preserve">是</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允许调整合同价格的工程量偏差范围：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120" w:after="120" w:line="400" w:lineRule="exact"/>
        <w:rPr>
          <w:rFonts w:hint="eastAsia" w:ascii="宋体" w:hAnsi="宋体" w:eastAsia="黑体"/>
          <w:b/>
          <w:bCs/>
          <w:color w:val="auto"/>
          <w:sz w:val="28"/>
          <w:highlight w:val="none"/>
        </w:rPr>
        <w:outlineLvl w:val="3"/>
      </w:pPr>
      <w:r/>
      <w:bookmarkStart w:id="240" w:name="_Toc351203634"/>
      <w:r>
        <w:rPr>
          <w:rFonts w:hint="eastAsia" w:ascii="宋体" w:hAnsi="宋体" w:eastAsia="黑体"/>
          <w:b/>
          <w:bCs/>
          <w:color w:val="auto"/>
          <w:sz w:val="28"/>
          <w:highlight w:val="none"/>
        </w:rPr>
        <w:t xml:space="preserve">2</w:t>
      </w:r>
      <w:bookmarkStart w:id="241" w:name="_Toc292559362"/>
      <w:r/>
      <w:bookmarkStart w:id="242" w:name="_Toc292559867"/>
      <w:r/>
      <w:bookmarkStart w:id="243" w:name="_Toc296346658"/>
      <w:r/>
      <w:bookmarkStart w:id="244" w:name="_Toc296347156"/>
      <w:r/>
      <w:bookmarkStart w:id="245" w:name="_Toc297048343"/>
      <w:r/>
      <w:bookmarkStart w:id="246" w:name="_Toc296503157"/>
      <w:r/>
      <w:bookmarkStart w:id="247" w:name="_Toc297120457"/>
      <w:r/>
      <w:bookmarkStart w:id="248" w:name="_Toc296891197"/>
      <w:r/>
      <w:bookmarkStart w:id="249" w:name="_Toc296944496"/>
      <w:r/>
      <w:bookmarkStart w:id="250" w:name="_Toc296890985"/>
      <w:r>
        <w:rPr>
          <w:rFonts w:hint="eastAsia" w:ascii="宋体" w:hAnsi="宋体" w:eastAsia="黑体"/>
          <w:b/>
          <w:bCs/>
          <w:color w:val="auto"/>
          <w:sz w:val="28"/>
          <w:highlight w:val="none"/>
        </w:rPr>
        <w:t xml:space="preserve">. 发包人</w:t>
      </w:r>
      <w:bookmarkEnd w:id="240"/>
      <w:r/>
      <w:bookmarkEnd w:id="241"/>
      <w:r/>
      <w:bookmarkEnd w:id="242"/>
      <w:r/>
      <w:bookmarkEnd w:id="243"/>
      <w:r/>
      <w:bookmarkEnd w:id="244"/>
      <w:r/>
      <w:bookmarkEnd w:id="245"/>
      <w:r/>
      <w:bookmarkEnd w:id="246"/>
      <w:r/>
      <w:bookmarkEnd w:id="247"/>
      <w:r/>
      <w:bookmarkEnd w:id="248"/>
      <w:r/>
      <w:bookmarkEnd w:id="249"/>
      <w:r/>
      <w:bookmarkEnd w:id="250"/>
      <w:r/>
      <w:r/>
    </w:p>
    <w:p>
      <w:pPr>
        <w:ind w:firstLine="422"/>
        <w:spacing w:after="120" w:line="400" w:lineRule="exact"/>
        <w:rPr>
          <w:rFonts w:hint="eastAsia" w:ascii="宋体" w:hAnsi="宋体"/>
          <w:b/>
          <w:color w:val="auto"/>
          <w:szCs w:val="21"/>
          <w:highlight w:val="none"/>
        </w:rPr>
        <w:outlineLvl w:val="0"/>
      </w:pPr>
      <w:r/>
      <w:bookmarkStart w:id="251" w:name="_Toc15404"/>
      <w:r/>
      <w:bookmarkStart w:id="252" w:name="_Toc4238"/>
      <w:r>
        <w:rPr>
          <w:rFonts w:hint="eastAsia" w:ascii="宋体" w:hAnsi="宋体"/>
          <w:b/>
          <w:color w:val="auto"/>
          <w:szCs w:val="21"/>
          <w:highlight w:val="none"/>
        </w:rPr>
        <w:t xml:space="preserve">2.2 发包人代表</w:t>
      </w:r>
      <w:bookmarkEnd w:id="251"/>
      <w:r/>
      <w:bookmarkEnd w:id="252"/>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发包人代表：</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发包人对发包人代表的授权范围如下：</w:t>
      </w:r>
      <w:r>
        <w:rPr>
          <w:rFonts w:hint="eastAsia" w:ascii="宋体" w:hAnsi="宋体" w:cs="宋体"/>
          <w:color w:val="auto"/>
          <w:szCs w:val="21"/>
          <w:highlight w:val="none"/>
          <w:u w:val="single"/>
        </w:rPr>
        <w:t xml:space="preserve">①代表发包人行使本合同约定的发包人的权利和监理人需要取得发包人批准的权力，督促指导监理工程师行使职权，协调施工现场各方面的关系，协调工程质量，进度和安全文明施工中存在的问题，解决有关设计和技术签证，办理、签认现场经济技术签证，审核工程进度报表。但涉及工期、质量、价款调整的内容必须由发包人盖章确认，否则对发包人和承包人不发生效力。②项目的现场实施、竣工验收、工程结（决）算、资料归档、工程移交等各阶段发包人应负责的相关事务，并配合完成项目前期的相关工作</w:t>
      </w:r>
      <w:r>
        <w:rPr>
          <w:rFonts w:hint="eastAsia" w:ascii="宋体" w:hAnsi="宋体" w:cs="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2.4 施工现场、施工条件和基础资料的提供</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2.4.1 提供施工现场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关于发包人移交施工现场的期限要求：</w:t>
      </w:r>
      <w:r>
        <w:rPr>
          <w:rFonts w:hint="eastAsia" w:ascii="宋体" w:hAnsi="宋体"/>
          <w:color w:val="auto"/>
          <w:szCs w:val="21"/>
          <w:highlight w:val="none"/>
          <w:u w:val="single"/>
        </w:rPr>
        <w:t xml:space="preserve">已具备移交条件</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2.4.2 提供施工条件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关于发包人应负责提供施工所需要的条件，包括：</w:t>
      </w:r>
      <w:r>
        <w:rPr>
          <w:rFonts w:hint="eastAsia" w:ascii="宋体" w:hAnsi="宋体"/>
          <w:color w:val="auto"/>
          <w:szCs w:val="21"/>
          <w:highlight w:val="none"/>
          <w:u w:val="single"/>
        </w:rPr>
        <w:t xml:space="preserve">（1）现状提交；（2）建筑垃圾外运处理等现场清理事项的费用包含在合同价款报价中，结算时不再另行计算和调整。（3）涉及临时用电、用水由承包人自行解决，费用由承包人自行承担。施工中承包人因工期、进度的需要增加电源、期间发生停电或由于实施范围内外的施工单位、个人和其他可能出现阻挠等引起的意外事宜，承包人需自备发电设备等措施，其费用包含在合同价中，结算时不再调整。施工中所发生的电费、水费，由承包人自行按实支付。</w:t>
      </w:r>
      <w:r/>
    </w:p>
    <w:p>
      <w:pPr>
        <w:ind w:firstLine="42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水准点与坐标控制点以书面形式交给承包人，并于开工前进行现场交验；</w:t>
      </w:r>
      <w:r/>
    </w:p>
    <w:p>
      <w:pPr>
        <w:ind w:firstLine="420"/>
        <w:jc w:val="left"/>
        <w:spacing w:line="440" w:lineRule="exact"/>
        <w:rPr>
          <w:rFonts w:hint="eastAsia" w:ascii="宋体" w:hAnsi="宋体" w:cs="宋体"/>
          <w:color w:val="auto"/>
          <w:szCs w:val="32"/>
          <w:highlight w:val="none"/>
        </w:rPr>
      </w:pPr>
      <w:r>
        <w:rPr>
          <w:rFonts w:hint="eastAsia" w:ascii="宋体" w:hAnsi="宋体" w:cs="宋体"/>
          <w:color w:val="auto"/>
          <w:szCs w:val="32"/>
          <w:highlight w:val="none"/>
        </w:rPr>
        <w:t xml:space="preserve">开工前向承包人提供工程地质和地下管线资料，发包人同意由承包人采取保护措施，协调处理施工场地周围地下管线和邻近建筑物、构筑物（含文物保护建筑）、古树名木的保护，费用由承包人承担。</w:t>
      </w:r>
      <w:r/>
    </w:p>
    <w:p>
      <w:pPr>
        <w:ind w:firstLine="420"/>
        <w:spacing w:after="120" w:line="400" w:lineRule="exact"/>
        <w:rPr>
          <w:rFonts w:hint="eastAsia" w:ascii="宋体" w:hAnsi="宋体"/>
          <w:color w:val="auto"/>
          <w:szCs w:val="21"/>
          <w:highlight w:val="none"/>
        </w:rPr>
        <w:outlineLvl w:val="0"/>
      </w:pPr>
      <w:r/>
      <w:bookmarkStart w:id="253" w:name="_Toc28010"/>
      <w:r/>
      <w:bookmarkStart w:id="254" w:name="_Toc23446"/>
      <w:r>
        <w:rPr>
          <w:rFonts w:hint="eastAsia" w:ascii="宋体" w:hAnsi="宋体"/>
          <w:color w:val="auto"/>
          <w:szCs w:val="21"/>
          <w:highlight w:val="none"/>
        </w:rPr>
        <w:t xml:space="preserve">2.5 资金来源证明及支付担保</w:t>
      </w:r>
      <w:bookmarkEnd w:id="253"/>
      <w:r/>
      <w:bookmarkEnd w:id="254"/>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发包人提供资金来源证明的期限要求：</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发包人是否提供支付担保：</w:t>
      </w:r>
      <w:r>
        <w:rPr>
          <w:rFonts w:hint="eastAsia" w:ascii="宋体" w:hAnsi="宋体"/>
          <w:color w:val="auto"/>
          <w:szCs w:val="21"/>
          <w:highlight w:val="none"/>
          <w:u w:val="single"/>
        </w:rPr>
        <w:t xml:space="preserve">  无支付担保                  </w:t>
      </w:r>
      <w:r>
        <w:rPr>
          <w:rFonts w:hint="eastAsia" w:ascii="宋体" w:hAnsi="宋体"/>
          <w:color w:val="auto"/>
          <w:szCs w:val="21"/>
          <w:highlight w:val="none"/>
        </w:rPr>
        <w:t xml:space="preserve">。</w:t>
      </w:r>
      <w:r/>
    </w:p>
    <w:p>
      <w:pPr>
        <w:ind w:firstLine="420"/>
        <w:spacing w:line="400" w:lineRule="exact"/>
        <w:rPr>
          <w:rFonts w:ascii="Times New Roman" w:hAnsi="Times New Roman" w:eastAsia="仿宋_GB2312"/>
          <w:color w:val="auto"/>
          <w:sz w:val="24"/>
          <w:szCs w:val="21"/>
          <w:highlight w:val="none"/>
          <w:u w:val="single"/>
        </w:rPr>
      </w:pPr>
      <w:r>
        <w:rPr>
          <w:rFonts w:hint="eastAsia" w:ascii="宋体" w:hAnsi="宋体"/>
          <w:color w:val="auto"/>
          <w:szCs w:val="21"/>
          <w:highlight w:val="none"/>
        </w:rPr>
        <w:t xml:space="preserve">发包人提供支付担保的形式：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
          <w:bCs/>
          <w:color w:val="auto"/>
          <w:sz w:val="28"/>
          <w:highlight w:val="none"/>
        </w:rPr>
        <w:outlineLvl w:val="3"/>
      </w:pPr>
      <w:r/>
      <w:bookmarkStart w:id="255" w:name="_Toc351203635"/>
      <w:r>
        <w:rPr>
          <w:rFonts w:hint="eastAsia" w:ascii="宋体" w:hAnsi="宋体" w:eastAsia="黑体"/>
          <w:b/>
          <w:bCs/>
          <w:color w:val="auto"/>
          <w:sz w:val="28"/>
          <w:highlight w:val="none"/>
        </w:rPr>
        <w:t xml:space="preserve">3</w:t>
      </w:r>
      <w:bookmarkStart w:id="256" w:name="_Toc292559363"/>
      <w:r/>
      <w:bookmarkStart w:id="257" w:name="_Toc292559868"/>
      <w:r/>
      <w:bookmarkStart w:id="258" w:name="_Toc296503158"/>
      <w:r/>
      <w:bookmarkStart w:id="259" w:name="_Toc296346659"/>
      <w:r/>
      <w:bookmarkStart w:id="260" w:name="_Toc297048344"/>
      <w:r/>
      <w:bookmarkStart w:id="261" w:name="_Toc296944497"/>
      <w:r/>
      <w:bookmarkStart w:id="262" w:name="_Toc296891198"/>
      <w:r/>
      <w:bookmarkStart w:id="263" w:name="_Toc296890986"/>
      <w:r/>
      <w:bookmarkStart w:id="264" w:name="_Toc297120458"/>
      <w:r/>
      <w:bookmarkStart w:id="265" w:name="_Toc296347157"/>
      <w:r>
        <w:rPr>
          <w:rFonts w:hint="eastAsia" w:ascii="宋体" w:hAnsi="宋体" w:eastAsia="黑体"/>
          <w:b/>
          <w:bCs/>
          <w:color w:val="auto"/>
          <w:sz w:val="28"/>
          <w:highlight w:val="none"/>
        </w:rPr>
        <w:t xml:space="preserve">. 承包人</w:t>
      </w:r>
      <w:bookmarkEnd w:id="255"/>
      <w:r/>
      <w:bookmarkEnd w:id="256"/>
      <w:r/>
      <w:bookmarkEnd w:id="257"/>
      <w:r/>
      <w:bookmarkEnd w:id="258"/>
      <w:r/>
      <w:bookmarkEnd w:id="259"/>
      <w:r/>
      <w:bookmarkEnd w:id="260"/>
      <w:r/>
      <w:bookmarkEnd w:id="261"/>
      <w:r/>
      <w:bookmarkEnd w:id="262"/>
      <w:r/>
      <w:bookmarkEnd w:id="263"/>
      <w:r/>
      <w:bookmarkEnd w:id="264"/>
      <w:r/>
      <w:bookmarkEnd w:id="265"/>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3.1 承包人的一般义务</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（1）承包人提交的竣工资料的内容：</w:t>
      </w:r>
      <w:r>
        <w:rPr>
          <w:rFonts w:hint="eastAsia" w:ascii="宋体" w:hAnsi="宋体"/>
          <w:color w:val="auto"/>
          <w:szCs w:val="21"/>
          <w:highlight w:val="none"/>
          <w:u w:val="single"/>
        </w:rPr>
        <w:t xml:space="preserve">承包人应按《建设工程文件归档规范》（GB/T50328-2019）及建设部建城[2002]221号文关于《市政基础设施工程施工技术文件管理规定》的要求，向发包人提供经过总监理工程师审核认可的完整并符合要求的竣工资料，含竣工图及其它资料。</w:t>
      </w:r>
      <w:r/>
    </w:p>
    <w:p>
      <w:pPr>
        <w:ind w:left="638"/>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承包人需要提交的竣工资料套数：</w:t>
      </w:r>
      <w:r>
        <w:rPr>
          <w:rFonts w:hint="eastAsia" w:ascii="宋体" w:hAnsi="宋体"/>
          <w:color w:val="auto"/>
          <w:szCs w:val="21"/>
          <w:highlight w:val="none"/>
          <w:u w:val="single"/>
        </w:rPr>
        <w:t xml:space="preserve">三套</w:t>
      </w:r>
      <w:r>
        <w:rPr>
          <w:rFonts w:hint="eastAsia" w:ascii="宋体" w:hAnsi="宋体"/>
          <w:color w:val="auto"/>
          <w:szCs w:val="21"/>
          <w:highlight w:val="none"/>
        </w:rPr>
        <w:t xml:space="preserve">。</w:t>
      </w:r>
      <w:r/>
    </w:p>
    <w:p>
      <w:pPr>
        <w:ind w:left="638"/>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承包人提交的竣工资料的费用承担：</w:t>
      </w:r>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63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承包人提交的竣工资料移交时间</w:t>
      </w:r>
      <w:r>
        <w:rPr>
          <w:rFonts w:hint="eastAsia" w:ascii="宋体" w:hAnsi="宋体"/>
          <w:color w:val="auto"/>
          <w:szCs w:val="21"/>
          <w:highlight w:val="none"/>
          <w:u w:val="single"/>
        </w:rPr>
        <w:t xml:space="preserve">： ①工程具备竣工验收条件后，承包人应按照《建设工程文件归档整理规范》（GB/T50328-2019）及南通市、通州区最新的要求，向发包人提供3套完整并符合要求的竣工资料和工程竣工报告，工程竣工报告应经过总监理工程师审核认可。②承包人应在工程竣工报告获得监理单位及发包人批准同意后一周内提交合格的工程竣工资料给发包人。如承包人不按约定提交合格的竣工资料，发包人有权扣除竣工资料保证金不予支付。③承包人在工程竣工后三个月内提供经监理工程师审查通过的三套完整的竣工图、竣工结算及其他资料，便于发包人安排工程结算。  </w:t>
      </w:r>
      <w:r/>
    </w:p>
    <w:p>
      <w:pPr>
        <w:ind w:firstLine="63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承包人提交的竣工资料形式要求：</w:t>
      </w:r>
      <w:r>
        <w:rPr>
          <w:rFonts w:hint="eastAsia" w:ascii="宋体" w:hAnsi="宋体"/>
          <w:color w:val="auto"/>
          <w:szCs w:val="21"/>
          <w:highlight w:val="none"/>
          <w:u w:val="single"/>
        </w:rPr>
        <w:t xml:space="preserve">书面及电子文档</w:t>
      </w:r>
      <w:r>
        <w:rPr>
          <w:rFonts w:hint="eastAsia" w:ascii="宋体" w:hAnsi="宋体"/>
          <w:color w:val="auto"/>
          <w:szCs w:val="21"/>
          <w:highlight w:val="none"/>
        </w:rPr>
        <w:t xml:space="preserve">。</w:t>
      </w:r>
      <w:r/>
    </w:p>
    <w:p>
      <w:pPr>
        <w:ind w:firstLine="525"/>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（10）承包人应履行的其他义务：</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1）场内外道路：工程的临时施工道路（场内、场外局部，工程竣工后由承包人负责拆除并把建筑垃圾清运出场地，符合政府相关规定，此费用已包含在合同价临时设施费中，结算时不再计算。</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投标单位应具有独立、有效地充分与物业公司沟通，遵守物业公司管理相关制度要求，并做好该工程周边群众工作的能力，充分考虑工程实施范围内外的单位、个人和其他可能出现阻挠施工的情况。若因此发生的机械台班停置费、二次机械进退场费、 人员窝工、处理周边群众纠纷等费用和损失等，已列入投标报价，工程结算时不作调整。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3）应提供计划、报表的名称及完成时间：每周五上午10：00前提供下周计划和本周完成情况统计表，交监理人。</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4）施工场地要设立标语、标牌，活动板房的建设必须符合《中华人民共和国消防法》、现场安全施工必须符合《中华人民共和国安全生产法》的相应规定，做到文明施工，树立企业形象，主动接受社会监督和有关部门的管理。</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5）承担施工安全、保卫工作及非夜间施工照明的责任和要求：提供和维修非夜间施工使用的照明、围栏设施、并负责安全保卫；承包人必须在施工现场入口处、施工起重机械、临时用电设施、脚手架、出入通道口、孔洞口等危险部位，设置明显的安全警示标志和必要的安全防护设施，安全警示标志必须符合国家标准，如发生安全事故，责任全部由承包人承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6）本合同签订后十日内，承包人应按照通州区人民政府相关规定要求办理安全生产责任保险，承包人未按规定要求办理的，发包人有权解除合同，并由承包人自行承担一切责任。</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7）有关施工场地交通、环卫环保和施工噪音管理及施工过程中的渣土处置、生活垃圾处置、排污、市容、城建城管、消防、治安、人口管理等需承包人办理相关手续以及对邻近居民和行人的施工期间的影响等，由承包人负责协调处理并承担相应的费用，费用含在合同价内；需发包人配合的，发包人提供必要的配合；</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8）根据《区政府办公室关于进一步加强建筑垃圾处置管理的实施意见》（通政办发〔2019〕34号）要求，承包人代表业主办理《建筑垃圾处置（排放）许可证》，所需费用含在合同价款内。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9）已完工程成品保护的特殊要求及费用承担：已竣工工程未交付发包人之前，承包人负责已完成工程的保护工作，所需费用含在合同价款内。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10）施工场地周围邻近建筑物、构筑物的保护要求及费用承担：负责做好施工场地周围管线和邻近建筑物保护措施，费用含在合同价款中。</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11）施工场地清洁卫生的要求：施工现场材料堆放要整齐，并有遮盖，不得扬尘，机械停放有序，符合清洁卫生要求，承担因自身原因违反有关规定造成的损失和罚款。</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12）承包人不得将拆除的砼块、建筑垃圾等乱堆乱放，否则除更换外一经发现承包人应向发包人支付违约金200元/次处罚。</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13）承包人在竣工验收合格后七天内拆除现场所有临时设施，包括所有的机械设备、材料、建筑垃圾全部清运出现场，清理标准应征得发包人认可。否则如发生相关费用由发包人在工程竣工结算价款中扣除，并且承包人按200元/天向发包人支付违约金。</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14）在工程施工过程中以及工程保修期内，由于承包人责任出现质量问题、安全事故或者因其他原因，受到报纸、电视等媒体的曝光或被政府有关主管部门的书面通报批评，均会给本工程的社会形象造成损失，每发生一次承包人须向发包人支付不低于1万元的违约金，并承担由此给发包人造成直接或间接的损失，违约金及损失赔偿款从承包人工程进度款中扣除。</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15）施工红线范围内若不具备临时设施搭设条件，请承包人自行考虑，费用不得调整。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16）因施工场地狭小而发生的一切费用由承包人自行考虑，所有费用包含在合同价中，工程结算时一律不作调整。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17）施工试验检测的费用（一次）由发包人承担，一次检测不合格的，再次检测的费用由承包人承担，不得计算在工程竣工结算价款中。</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18）承包人应按规范接受各项检测，检测取样、委托必须有发包人和监理工程师的签字认可。</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19）本项目使用的所有建筑材料的环保等级需符合清单及国家的相应的规定，需经复试后使用，工程竣工验收前须提供经有关资质单位出具的环境检测报告，首次检测费用由发包人承担。如首次检测不合格，承包人负责整改，直至合格，后续检测费用由承包人承担。</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20）本工程施工结束后需进行全面深度保洁，费用包含在合同价中，结算时不作调整。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21）针对本工程周边居民楼，承包人应独立、自主、有效地做好文明施工措施，特别是扬尘、噪声污染的控制，夜间施工需提前办理相关手续并做好公告与协调工作，如因承包人原因受到相关部门的通报批评处理，发包人有权对承包人每次应向发包人支付违约金1000元。</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22）承包人拟进场施工班组须经承包人、监理、发包人共同确认。</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23）项目主要管理人员（安全员、施工员、质量员）必须为承包单位订立劳动合同、发放工资、缴纳社保的正式人员，本合同签订前承包人应向发包单位提供项目主要管理人员（安全员、施工员、质量员）岗位证书、身份证及承包人与其签订的有效劳动合同书及企业为其缴纳的养老保险缴费证明。</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24）现场的管道拆除后遗留的洞口需进行封堵，封堵费用包含在投标报价中，不再另行计费。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25）由承包人负责的安拆、搬运及运送等，承包人需做好物品保护，过程中损坏物件由承包人负责按原产品同质量进行补齐，费用包含在投标报价中，不再另行计费。</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26</w:t>
      </w:r>
      <w:r>
        <w:rPr>
          <w:rFonts w:hint="eastAsia" w:ascii="宋体" w:hAnsi="宋体"/>
          <w:color w:val="auto"/>
          <w:szCs w:val="21"/>
          <w:highlight w:val="none"/>
          <w:u w:val="single"/>
        </w:rPr>
        <w:t xml:space="preserve">）施工中的群工矛盾由承包单位自行考虑，费用列入投标报价，结算时不作调整。</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27</w:t>
      </w:r>
      <w:r>
        <w:rPr>
          <w:rFonts w:hint="eastAsia" w:ascii="宋体" w:hAnsi="宋体"/>
          <w:color w:val="auto"/>
          <w:szCs w:val="21"/>
          <w:highlight w:val="none"/>
          <w:u w:val="single"/>
        </w:rPr>
        <w:t xml:space="preserve">）发包人对合同范围内外的工程变更，承包人须无条件接受并予以施工，所发生的费用经发包人核实后纳入工程结算。如承包人拒不执行发包人指令的，发包人有权记承包人不良行为一次。</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28</w:t>
      </w:r>
      <w:r>
        <w:rPr>
          <w:rFonts w:hint="eastAsia" w:ascii="宋体" w:hAnsi="宋体"/>
          <w:color w:val="auto"/>
          <w:szCs w:val="21"/>
          <w:highlight w:val="none"/>
          <w:u w:val="single"/>
        </w:rPr>
        <w:t xml:space="preserve">）对于施工过程中承包人不得因承包方前期手续而索赔或消极施工，需积极配合，保证工程按计划进行。如发生类似情形，发现一次扣除履约保证金的10% 。</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lang w:val="en-US" w:eastAsia="zh-CN"/>
        </w:rPr>
        <w:t xml:space="preserve">29</w:t>
      </w:r>
      <w:r>
        <w:rPr>
          <w:rFonts w:hint="eastAsia" w:ascii="宋体" w:hAnsi="宋体"/>
          <w:color w:val="auto"/>
          <w:szCs w:val="21"/>
          <w:highlight w:val="none"/>
          <w:u w:val="single"/>
        </w:rPr>
        <w:t xml:space="preserve">）发包人保留根据整个工程建设的实际情况，对合同工程施工进度进行协调的权力，包括对关键工期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3.2 项目经理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3.2.1 项目经理：</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身份证号：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建造师执业资格等级：</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建造师注册证书号：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建造师执业印章号：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安全生产考核合格证书号：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承包人对项目经理的授权范围如下：</w:t>
      </w:r>
      <w:r>
        <w:rPr>
          <w:rFonts w:hint="eastAsia" w:ascii="宋体" w:hAnsi="宋体"/>
          <w:color w:val="auto"/>
          <w:szCs w:val="21"/>
          <w:highlight w:val="none"/>
          <w:u w:val="single"/>
        </w:rPr>
        <w:t xml:space="preserve">作为承包人代表，负责本工程项目施工全过程中全面管理的责任和义务，全权代表承包人履行合同义务</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关于项目经理每月在施工现场的时间要求：</w:t>
      </w:r>
      <w:r>
        <w:rPr>
          <w:rFonts w:hint="eastAsia" w:ascii="宋体" w:hAnsi="宋体"/>
          <w:color w:val="auto"/>
          <w:szCs w:val="21"/>
          <w:highlight w:val="none"/>
          <w:u w:val="single"/>
        </w:rPr>
        <w:t xml:space="preserve">在本工程完工前，项目负责人不得参与其他工程的投标，必须常驻现场，每天不少于8小时，关键节点必须在岗。离开施工现场必须请假，一天向总监请假，二天及以上向发包人请假</w:t>
      </w:r>
      <w:r>
        <w:rPr>
          <w:rFonts w:hint="eastAsia" w:ascii="宋体" w:hAnsi="宋体" w:cs="宋体"/>
          <w:color w:val="auto"/>
          <w:szCs w:val="21"/>
          <w:highlight w:val="none"/>
          <w:u w:val="single"/>
        </w:rPr>
        <w:t xml:space="preserve">（每月请假次数原则上不得多于3次，且每次请假不在岗的时间不超过8小时）</w:t>
      </w:r>
      <w:r>
        <w:rPr>
          <w:rFonts w:hint="eastAsia" w:ascii="宋体" w:hAnsi="宋体"/>
          <w:color w:val="auto"/>
          <w:szCs w:val="21"/>
          <w:highlight w:val="none"/>
          <w:u w:val="singl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承包人未提交劳动合同，以及没有为项目经理缴纳社会保险证明的违约责任：</w:t>
      </w:r>
      <w:r>
        <w:rPr>
          <w:rFonts w:hint="eastAsia" w:ascii="宋体" w:hAnsi="宋体"/>
          <w:color w:val="auto"/>
          <w:szCs w:val="21"/>
          <w:highlight w:val="none"/>
          <w:u w:val="single"/>
        </w:rPr>
        <w:t xml:space="preserve">处以3万元罚款，责令限期提交劳动合同并补缴社会保险；承包人承担因此产生的全部损失和责任，工期不予顺延 。</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项目经理未经批准，擅自离开施工现场的违约责任：</w:t>
      </w:r>
      <w:r>
        <w:rPr>
          <w:rFonts w:hint="eastAsia" w:ascii="宋体" w:hAnsi="宋体"/>
          <w:color w:val="auto"/>
          <w:szCs w:val="21"/>
          <w:highlight w:val="none"/>
          <w:u w:val="single"/>
        </w:rPr>
        <w:t xml:space="preserve">第一次罚款2000元，第二次罚款4000元，第三次除罚款8000元外发包人同时有权解除合同，并向承包人追索由此造成各项损失的违约责任。项目经理连续5天或一个月内累计15天无故不在现场，则视为承包人无能力完成本工程，发包人有权解除合同并承担上述违约给发包人造成的一切损失，承包人退出施工现场，已完工程不做结算。</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3.2.3 承包人擅自更换项目经理的违约责任：</w:t>
      </w:r>
      <w:r>
        <w:rPr>
          <w:rFonts w:hint="eastAsia" w:ascii="宋体" w:hAnsi="宋体" w:cs="宋体"/>
          <w:color w:val="auto"/>
          <w:szCs w:val="21"/>
          <w:highlight w:val="none"/>
          <w:u w:val="single"/>
        </w:rPr>
        <w:t xml:space="preserve">在本工程完工前，承包人不得更换项目经理，如更换项目经理，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auto"/>
          <w:szCs w:val="21"/>
          <w:highlight w:val="none"/>
        </w:rPr>
        <w:t xml:space="preserve">。</w:t>
      </w:r>
      <w:r/>
    </w:p>
    <w:p>
      <w:pPr>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    3.2.4 承包人无正当理由拒绝更换项目经理的违约责任：</w:t>
      </w:r>
      <w:r>
        <w:rPr>
          <w:rFonts w:hint="eastAsia" w:ascii="宋体" w:hAnsi="宋体"/>
          <w:color w:val="auto"/>
          <w:szCs w:val="21"/>
          <w:highlight w:val="none"/>
          <w:u w:val="single"/>
        </w:rPr>
        <w:t xml:space="preserve"> </w:t>
      </w:r>
      <w:r>
        <w:rPr>
          <w:rFonts w:hint="eastAsia" w:ascii="宋体" w:hAnsi="宋体" w:cs="宋体"/>
          <w:color w:val="auto"/>
          <w:szCs w:val="21"/>
          <w:highlight w:val="none"/>
          <w:u w:val="single"/>
        </w:rPr>
        <w:t xml:space="preserve">发包人要求更换项目经理而承包人无正当理由拒绝更换的，承包人应向发包人支付违约金5万元，承包人承担上述违约给发包人造成的一切损失，且发包人有权单方面解除合同，承包人依约退出施工现场，已完工程不再结算付款</w:t>
      </w:r>
      <w:r>
        <w:rPr>
          <w:rFonts w:hint="eastAsia" w:ascii="宋体" w:hAnsi="宋体" w:cs="宋体"/>
          <w:color w:val="auto"/>
          <w:szCs w:val="21"/>
          <w:highlight w:val="none"/>
        </w:rPr>
        <w:t xml:space="preserve">。</w:t>
      </w:r>
      <w:r/>
    </w:p>
    <w:p>
      <w:pPr>
        <w:ind w:firstLine="422"/>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3.3 承包人人员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3.3.1承包人提交项目管理机构及施工现场管理人员安排报告的期限：</w:t>
      </w:r>
      <w:r>
        <w:rPr>
          <w:rFonts w:hint="eastAsia" w:ascii="宋体" w:hAnsi="宋体" w:cs="宋体"/>
          <w:color w:val="auto"/>
          <w:szCs w:val="21"/>
          <w:highlight w:val="none"/>
          <w:u w:val="single"/>
        </w:rPr>
        <w:t xml:space="preserve">按通用条款</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3.3.2承包人无正当理由拒绝撤换主要施工管理人员的违约责任：</w:t>
      </w:r>
      <w:r>
        <w:rPr>
          <w:rFonts w:hint="eastAsia" w:ascii="宋体" w:hAnsi="宋体" w:cs="宋体"/>
          <w:color w:val="auto"/>
          <w:szCs w:val="21"/>
          <w:highlight w:val="none"/>
          <w:u w:val="single"/>
        </w:rPr>
        <w:t xml:space="preserve">承包人应向发包人支付违约金1万元，承包人承担上述违约给发包人造成的一切损失，发包人有权单方面解除合同，承包人依约退出施工现场，已完工程不再结算付款</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u w:val="single"/>
        </w:rPr>
      </w:pPr>
      <w:r>
        <w:rPr>
          <w:rFonts w:hint="eastAsia" w:ascii="宋体" w:hAnsi="宋体" w:cs="宋体"/>
          <w:color w:val="auto"/>
          <w:szCs w:val="21"/>
          <w:highlight w:val="none"/>
        </w:rPr>
        <w:t xml:space="preserve">3.3.3承包人主要施工管理人员离开施工现场的批准要求：</w:t>
      </w:r>
      <w:r>
        <w:rPr>
          <w:rFonts w:hint="eastAsia" w:ascii="宋体" w:hAnsi="宋体" w:cs="宋体"/>
          <w:color w:val="auto"/>
          <w:szCs w:val="21"/>
          <w:highlight w:val="none"/>
          <w:u w:val="single"/>
        </w:rPr>
        <w:t xml:space="preserve">书面向总监工程师、发包人代表请假，经批准认可方可离开，手续报发包人项目管理部备案</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承包人主要施工管理人员擅自离开施工现场的违约责任：</w:t>
      </w:r>
      <w:r>
        <w:rPr>
          <w:rFonts w:hint="eastAsia" w:ascii="宋体" w:hAnsi="宋体" w:cs="宋体"/>
          <w:color w:val="auto"/>
          <w:szCs w:val="21"/>
          <w:highlight w:val="none"/>
          <w:u w:val="single"/>
        </w:rPr>
        <w:t xml:space="preserve">承包人应向发包人支付违约金500元/人次，承包人承担上述违约给发包人造成的一切损失</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3.3.4承包人擅自更换主要施工管理人员的违约责任：</w:t>
      </w:r>
      <w:r>
        <w:rPr>
          <w:rFonts w:hint="eastAsia" w:ascii="宋体" w:hAnsi="宋体" w:cs="宋体"/>
          <w:color w:val="auto"/>
          <w:szCs w:val="21"/>
          <w:highlight w:val="none"/>
          <w:u w:val="single"/>
        </w:rPr>
        <w:t xml:space="preserve">承包人必须指派合同约定承诺的项目部主要管理人员（技术负责人、施工员、质检员、安全员）到施工现场负责施工管理；若有变动，除须得到发包人认可外，同时须向发包人支付1万元/次/人的违约金。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承包人擅自更换主要施工管理人员而发包人不予认可的，发包人有权解除合同，承包人退出施工现场，已完工程不再结算付款</w:t>
      </w:r>
      <w:r>
        <w:rPr>
          <w:rFonts w:hint="eastAsia" w:ascii="宋体" w:hAnsi="宋体" w:cs="宋体"/>
          <w:color w:val="auto"/>
          <w:szCs w:val="21"/>
          <w:highlight w:val="none"/>
        </w:rPr>
        <w:t xml:space="preserve">。</w:t>
      </w:r>
      <w:r/>
    </w:p>
    <w:p>
      <w:pPr>
        <w:ind w:firstLine="422"/>
        <w:spacing w:after="120" w:line="380" w:lineRule="exact"/>
        <w:rPr>
          <w:rFonts w:hint="eastAsia" w:ascii="宋体" w:hAnsi="宋体"/>
          <w:b/>
          <w:color w:val="auto"/>
          <w:szCs w:val="21"/>
          <w:highlight w:val="none"/>
        </w:rPr>
      </w:pPr>
      <w:r>
        <w:rPr>
          <w:rFonts w:hint="eastAsia" w:ascii="宋体" w:hAnsi="宋体"/>
          <w:b/>
          <w:color w:val="auto"/>
          <w:szCs w:val="21"/>
          <w:highlight w:val="none"/>
        </w:rPr>
        <w:t xml:space="preserve">3</w:t>
      </w:r>
      <w:bookmarkStart w:id="266" w:name="_Toc297216151"/>
      <w:r/>
      <w:bookmarkStart w:id="267" w:name="_Toc312677988"/>
      <w:r/>
      <w:bookmarkStart w:id="268" w:name="_Toc297123492"/>
      <w:r/>
      <w:bookmarkStart w:id="269" w:name="_Toc300934945"/>
      <w:r/>
      <w:bookmarkStart w:id="270" w:name="_Toc296890987"/>
      <w:r/>
      <w:bookmarkStart w:id="271" w:name="_Toc296346660"/>
      <w:r/>
      <w:bookmarkStart w:id="272" w:name="_Toc303539102"/>
      <w:r/>
      <w:bookmarkStart w:id="273" w:name="_Toc292559364"/>
      <w:r/>
      <w:bookmarkStart w:id="274" w:name="_Toc297120459"/>
      <w:r/>
      <w:bookmarkStart w:id="275" w:name="_Toc296347158"/>
      <w:r/>
      <w:bookmarkStart w:id="276" w:name="_Toc296503159"/>
      <w:r/>
      <w:bookmarkStart w:id="277" w:name="_Toc297048345"/>
      <w:r/>
      <w:bookmarkStart w:id="278" w:name="_Toc296944498"/>
      <w:r/>
      <w:bookmarkStart w:id="279" w:name="_Toc292559869"/>
      <w:r/>
      <w:bookmarkStart w:id="280" w:name="_Toc304295523"/>
      <w:r/>
      <w:bookmarkStart w:id="281" w:name="_Toc296891199"/>
      <w:r>
        <w:rPr>
          <w:rFonts w:hint="eastAsia" w:ascii="宋体" w:hAnsi="宋体"/>
          <w:b/>
          <w:color w:val="auto"/>
          <w:szCs w:val="21"/>
          <w:highlight w:val="none"/>
        </w:rPr>
        <w:t xml:space="preserve">.5 分包</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3</w:t>
      </w:r>
      <w:bookmarkStart w:id="282" w:name="_Toc296346661"/>
      <w:r/>
      <w:bookmarkStart w:id="283" w:name="_Toc297048346"/>
      <w:r/>
      <w:bookmarkStart w:id="284" w:name="_Toc296503160"/>
      <w:r/>
      <w:bookmarkStart w:id="285" w:name="_Toc296891200"/>
      <w:r/>
      <w:bookmarkStart w:id="286" w:name="_Toc292559870"/>
      <w:r/>
      <w:bookmarkStart w:id="287" w:name="_Toc297216152"/>
      <w:r/>
      <w:bookmarkStart w:id="288" w:name="_Toc303539103"/>
      <w:r/>
      <w:bookmarkStart w:id="289" w:name="_Toc296944499"/>
      <w:r/>
      <w:bookmarkStart w:id="290" w:name="_Toc300934946"/>
      <w:r/>
      <w:bookmarkStart w:id="291" w:name="_Toc292559365"/>
      <w:r/>
      <w:bookmarkStart w:id="292" w:name="_Toc304295524"/>
      <w:r/>
      <w:bookmarkStart w:id="293" w:name="_Toc297123493"/>
      <w:r/>
      <w:bookmarkStart w:id="294" w:name="_Toc296347159"/>
      <w:r/>
      <w:bookmarkStart w:id="295" w:name="_Toc296890988"/>
      <w:r/>
      <w:bookmarkStart w:id="296" w:name="_Toc297120460"/>
      <w:r/>
      <w:bookmarkStart w:id="297" w:name="_Toc312677989"/>
      <w:r/>
      <w:bookmarkStart w:id="298" w:name="_Toc318581158"/>
      <w:r>
        <w:rPr>
          <w:rFonts w:hint="eastAsia" w:ascii="宋体" w:hAnsi="宋体"/>
          <w:color w:val="auto"/>
          <w:szCs w:val="21"/>
          <w:highlight w:val="none"/>
        </w:rPr>
        <w:t xml:space="preserve">.5.1 分包的一般约定</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禁止分包的工程包括：</w:t>
      </w:r>
      <w:r>
        <w:rPr>
          <w:rFonts w:hint="eastAsia" w:ascii="宋体" w:hAnsi="宋体"/>
          <w:color w:val="auto"/>
          <w:szCs w:val="21"/>
          <w:highlight w:val="none"/>
          <w:u w:val="single"/>
        </w:rPr>
        <w:t xml:space="preserve">  </w:t>
      </w:r>
      <w:r>
        <w:rPr>
          <w:rFonts w:hint="eastAsia" w:ascii="宋体" w:hAnsi="宋体" w:cs="宋体"/>
          <w:color w:val="auto"/>
          <w:szCs w:val="32"/>
          <w:highlight w:val="none"/>
          <w:u w:val="single"/>
        </w:rPr>
        <w:t xml:space="preserve">在履行合同过程中，承包人不得转包和分包，一经发现，发包人可以解除本合同，并不予退还全额履约保证金，并且已完成的工程量不予结算，所造成的责任与损失均由承包人承担。</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主体结构、关键性工作的范围：</w:t>
      </w:r>
      <w:r>
        <w:rPr>
          <w:rFonts w:hint="eastAsia" w:ascii="宋体" w:hAnsi="宋体"/>
          <w:color w:val="auto"/>
          <w:szCs w:val="21"/>
          <w:highlight w:val="none"/>
          <w:u w:val="single"/>
        </w:rPr>
        <w:t xml:space="preserve">     </w:t>
      </w:r>
      <w:r>
        <w:rPr>
          <w:rFonts w:hint="eastAsia" w:ascii="宋体" w:hAnsi="宋体" w:cs="宋体"/>
          <w:color w:val="auto"/>
          <w:szCs w:val="32"/>
          <w:highlight w:val="none"/>
          <w:u w:val="single"/>
        </w:rPr>
        <w:t xml:space="preserve">按通用条款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9" w:name="_Toc297120461"/>
      <w:r/>
      <w:bookmarkStart w:id="300" w:name="_Toc296944500"/>
      <w:r/>
      <w:bookmarkStart w:id="301" w:name="_Toc296346662"/>
      <w:r/>
      <w:bookmarkStart w:id="302" w:name="_Toc300934947"/>
      <w:r/>
      <w:bookmarkStart w:id="303" w:name="_Toc296503161"/>
      <w:r/>
      <w:bookmarkStart w:id="304" w:name="_Toc297123494"/>
      <w:r/>
      <w:bookmarkStart w:id="305" w:name="_Toc297048347"/>
      <w:r/>
      <w:bookmarkStart w:id="306" w:name="_Toc296891201"/>
      <w:r/>
      <w:bookmarkStart w:id="307" w:name="_Toc296347160"/>
      <w:r/>
      <w:bookmarkStart w:id="308" w:name="_Toc297216153"/>
      <w:r/>
      <w:bookmarkStart w:id="309" w:name="_Toc303539104"/>
      <w:r/>
      <w:bookmarkStart w:id="310" w:name="_Toc296890989"/>
      <w:r/>
      <w:bookmarkStart w:id="311" w:name="_Toc304295525"/>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r/>
    </w:p>
    <w:p>
      <w:pPr>
        <w:spacing w:line="380" w:lineRule="exact"/>
        <w:rPr>
          <w:rFonts w:hint="eastAsia" w:ascii="宋体" w:hAnsi="宋体"/>
          <w:color w:val="auto"/>
          <w:szCs w:val="21"/>
          <w:highlight w:val="none"/>
        </w:rPr>
      </w:pPr>
      <w:r>
        <w:rPr>
          <w:rFonts w:hint="eastAsia" w:ascii="宋体" w:hAnsi="宋体"/>
          <w:color w:val="auto"/>
          <w:szCs w:val="21"/>
          <w:highlight w:val="none"/>
        </w:rPr>
        <w:t xml:space="preserve">    3</w:t>
      </w:r>
      <w:bookmarkStart w:id="312" w:name="_Toc312677990"/>
      <w:r/>
      <w:bookmarkStart w:id="313" w:name="_Toc318581159"/>
      <w:r>
        <w:rPr>
          <w:rFonts w:hint="eastAsia" w:ascii="宋体" w:hAnsi="宋体"/>
          <w:color w:val="auto"/>
          <w:szCs w:val="21"/>
          <w:highlight w:val="none"/>
        </w:rPr>
        <w:t xml:space="preserve">.5.2分包的确定</w:t>
      </w:r>
      <w:r/>
    </w:p>
    <w:p>
      <w:pPr>
        <w:ind w:firstLine="420"/>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允许分包的专业工程包括：</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其他关于分包的约定：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3.5.4 分包合同价款</w:t>
      </w:r>
      <w:r/>
    </w:p>
    <w:p>
      <w:pPr>
        <w:ind w:firstLine="420"/>
        <w:spacing w:line="38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关于分包合同价款支付的约定：</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312"/>
      <w:r/>
      <w:bookmarkEnd w:id="313"/>
      <w:r/>
      <w:r/>
    </w:p>
    <w:p>
      <w:pPr>
        <w:ind w:firstLine="422"/>
        <w:spacing w:after="120" w:line="380" w:lineRule="exact"/>
        <w:rPr>
          <w:rFonts w:hint="eastAsia" w:ascii="宋体" w:hAnsi="宋体"/>
          <w:b/>
          <w:color w:val="auto"/>
          <w:szCs w:val="21"/>
          <w:highlight w:val="none"/>
        </w:rPr>
      </w:pPr>
      <w:r>
        <w:rPr>
          <w:rFonts w:hint="eastAsia" w:ascii="宋体" w:hAnsi="宋体"/>
          <w:b/>
          <w:color w:val="auto"/>
          <w:szCs w:val="21"/>
          <w:highlight w:val="none"/>
        </w:rPr>
        <w:t xml:space="preserve">3.6 工程照管与成品、半成品保护</w:t>
      </w:r>
      <w:r/>
    </w:p>
    <w:p>
      <w:pPr>
        <w:ind w:firstLine="420"/>
        <w:jc w:val="left"/>
        <w:spacing w:line="380" w:lineRule="exact"/>
        <w:widowControl/>
        <w:rPr>
          <w:rFonts w:ascii="宋体" w:hAnsi="宋体"/>
          <w:color w:val="auto"/>
          <w:szCs w:val="21"/>
          <w:highlight w:val="none"/>
          <w:u w:val="single"/>
        </w:rPr>
      </w:pPr>
      <w:r>
        <w:rPr>
          <w:rFonts w:hint="eastAsia" w:ascii="宋体" w:hAnsi="宋体"/>
          <w:color w:val="auto"/>
          <w:szCs w:val="21"/>
          <w:highlight w:val="none"/>
        </w:rPr>
        <w:t xml:space="preserve">承包人负责照管工程及工程相关的材料、工程设备的起始时间：</w:t>
      </w:r>
      <w:r>
        <w:rPr>
          <w:rFonts w:hint="eastAsia" w:ascii="宋体" w:hAnsi="宋体"/>
          <w:color w:val="auto"/>
          <w:szCs w:val="21"/>
          <w:highlight w:val="none"/>
          <w:u w:val="single"/>
        </w:rPr>
        <w:t xml:space="preserve">从承包人设备、材料进场之日起，到竣工移交手续办理之日止。</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已完工工程未交付发包人之前，由承包人负责保护工作，保护不善发生损失，承包人自费予以修复。对施工现场其他专业承包单位施工过程中的成品与半成品不得造成损坏，如造成损坏应照价赔偿。成品、半成品保护费已经包含在合同价款中，结算时不再另行计取。</w:t>
      </w:r>
      <w:r/>
    </w:p>
    <w:p>
      <w:pPr>
        <w:ind w:firstLine="422"/>
        <w:spacing w:line="380" w:lineRule="exact"/>
        <w:rPr>
          <w:rFonts w:hint="eastAsia" w:ascii="宋体" w:hAnsi="宋体"/>
          <w:b/>
          <w:color w:val="auto"/>
          <w:szCs w:val="21"/>
          <w:highlight w:val="none"/>
        </w:rPr>
      </w:pPr>
      <w:r>
        <w:rPr>
          <w:rFonts w:hint="eastAsia" w:ascii="宋体" w:hAnsi="宋体"/>
          <w:b/>
          <w:color w:val="auto"/>
          <w:szCs w:val="21"/>
          <w:highlight w:val="none"/>
        </w:rPr>
        <w:t xml:space="preserve">3.7 履约担保</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承包人是否提供履约担保：</w:t>
      </w:r>
      <w:r>
        <w:rPr>
          <w:rFonts w:hint="eastAsia" w:ascii="宋体" w:hAnsi="宋体"/>
          <w:color w:val="auto"/>
          <w:szCs w:val="21"/>
          <w:highlight w:val="none"/>
          <w:u w:val="single"/>
        </w:rPr>
        <w:t xml:space="preserve">提供</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①承包人提供履约担保的形式、金额及期限的：提供合同价款的 10%作为履约保证金，其中：工期履约保证金为 3％ ，质量履约保证金为 3 ％，安全履约保证金为 2 % ，竣工资料履约保证金为 1% ，廉政履约保证金为1 %；履约保证金可以用以支票、汇票、本票或者金融机构、担保机构出具的保函等非现金形式提供。提交时间为本合同签订前。上述履约保证金分别的、共同的承担合同义务和责任。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承包人应在中标通知书签发30天内签订合同且向发包人提供足额履约担保，否则招标人可以取消其中标资格</w:t>
      </w:r>
      <w:r>
        <w:rPr>
          <w:rFonts w:hint="eastAsia" w:ascii="宋体" w:hAnsi="宋体" w:cs="宋体"/>
          <w:color w:val="auto"/>
          <w:szCs w:val="21"/>
          <w:highlight w:val="none"/>
        </w:rPr>
        <w:t xml:space="preserve">。采购人若无故逾期退还履约保证金，按照逾期部分的每日0.05%支付违约金。</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②承包人应按照招标文件规定的时间，将履约担保足额提供给发包人。承包人不按期足额向发包方提交履约担保的，视为承包人放弃签订合同的权利，不得要求发包方签订本合同。即使签订了本合同，双方亦确认本合同自行解除，发包人不承担任何责任</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③承包人按期保质竣工并经验收合格，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u w:val="single"/>
        </w:rPr>
        <w:t xml:space="preserve">④关于质量保证金的补充约定：a</w:t>
      </w:r>
      <w:r>
        <w:rPr>
          <w:rFonts w:hint="eastAsia" w:ascii="宋体" w:hAnsi="宋体" w:cs="宋体"/>
          <w:color w:val="auto"/>
          <w:szCs w:val="21"/>
          <w:highlight w:val="none"/>
          <w:u w:val="single"/>
        </w:rPr>
        <w:t xml:space="preserve">、承包人必须达到合同约定的质量标准，达不到标准的，除质量履约保证金不予退还外，还必须负责返工、修理；经返工、修理，费用全部由承包人自行承担；仍不能消除质量缺陷或隐患，不能达到设计标准和施工要求的，发包人有权解除合同，并减少或拒绝支付工程款。造成发包人经济损失的，仍由承包人承担赔偿责任；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r>
        <w:rPr>
          <w:rFonts w:hint="eastAsia" w:ascii="宋体" w:hAnsi="宋体" w:cs="宋体"/>
          <w:color w:val="auto"/>
          <w:szCs w:val="21"/>
          <w:highlight w:val="none"/>
        </w:rPr>
        <w:t xml:space="preserve">。</w:t>
      </w:r>
      <w:r/>
    </w:p>
    <w:p>
      <w:pPr>
        <w:keepLines/>
        <w:keepNext/>
        <w:spacing w:before="120" w:after="120" w:line="400" w:lineRule="exact"/>
        <w:rPr>
          <w:rFonts w:hint="eastAsia" w:ascii="宋体" w:hAnsi="宋体" w:eastAsia="黑体"/>
          <w:b/>
          <w:bCs/>
          <w:color w:val="auto"/>
          <w:sz w:val="28"/>
          <w:highlight w:val="none"/>
        </w:rPr>
        <w:outlineLvl w:val="3"/>
      </w:pPr>
      <w:r/>
      <w:bookmarkStart w:id="314" w:name="_Toc351203636"/>
      <w:r>
        <w:rPr>
          <w:rFonts w:hint="eastAsia" w:ascii="宋体" w:hAnsi="宋体" w:eastAsia="黑体"/>
          <w:b/>
          <w:bCs/>
          <w:color w:val="auto"/>
          <w:sz w:val="28"/>
          <w:highlight w:val="none"/>
        </w:rPr>
        <w:t xml:space="preserve">4</w:t>
      </w:r>
      <w:bookmarkStart w:id="315" w:name="_Toc296346663"/>
      <w:r/>
      <w:bookmarkStart w:id="316" w:name="_Toc296347161"/>
      <w:r/>
      <w:bookmarkStart w:id="317" w:name="_Toc267251413"/>
      <w:r/>
      <w:bookmarkStart w:id="318" w:name="_Toc292559871"/>
      <w:r/>
      <w:bookmarkStart w:id="319" w:name="_Toc296503162"/>
      <w:r/>
      <w:bookmarkStart w:id="320" w:name="_Toc292559366"/>
      <w:r/>
      <w:bookmarkStart w:id="321" w:name="_Toc296944501"/>
      <w:r/>
      <w:bookmarkStart w:id="322" w:name="_Toc296890990"/>
      <w:r/>
      <w:bookmarkStart w:id="323" w:name="_Toc296891202"/>
      <w:r/>
      <w:bookmarkStart w:id="324" w:name="_Toc297048348"/>
      <w:r/>
      <w:bookmarkStart w:id="325" w:name="_Toc297120462"/>
      <w:r>
        <w:rPr>
          <w:rFonts w:hint="eastAsia" w:ascii="宋体" w:hAnsi="宋体" w:eastAsia="黑体"/>
          <w:b/>
          <w:bCs/>
          <w:color w:val="auto"/>
          <w:sz w:val="28"/>
          <w:highlight w:val="none"/>
        </w:rPr>
        <w:t xml:space="preserve">. 监</w:t>
      </w:r>
      <w:bookmarkEnd w:id="315"/>
      <w:r/>
      <w:bookmarkEnd w:id="316"/>
      <w:r/>
      <w:bookmarkEnd w:id="317"/>
      <w:r/>
      <w:bookmarkEnd w:id="318"/>
      <w:r/>
      <w:bookmarkEnd w:id="319"/>
      <w:r/>
      <w:bookmarkEnd w:id="320"/>
      <w:r/>
      <w:bookmarkEnd w:id="321"/>
      <w:r/>
      <w:bookmarkEnd w:id="322"/>
      <w:r/>
      <w:bookmarkEnd w:id="323"/>
      <w:r/>
      <w:bookmarkEnd w:id="324"/>
      <w:r/>
      <w:bookmarkEnd w:id="325"/>
      <w:r>
        <w:rPr>
          <w:rFonts w:hint="eastAsia" w:ascii="宋体" w:hAnsi="宋体" w:eastAsia="黑体"/>
          <w:b/>
          <w:bCs/>
          <w:color w:val="auto"/>
          <w:sz w:val="28"/>
          <w:highlight w:val="none"/>
        </w:rPr>
        <w:t xml:space="preserve">理人</w:t>
      </w:r>
      <w:bookmarkEnd w:id="314"/>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4.1监理人的一般规定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关于监理人的监理内容：</w:t>
      </w:r>
      <w:r>
        <w:rPr>
          <w:rFonts w:hint="eastAsia" w:ascii="宋体" w:hAnsi="宋体"/>
          <w:color w:val="auto"/>
          <w:szCs w:val="21"/>
          <w:highlight w:val="none"/>
          <w:u w:val="single"/>
        </w:rPr>
        <w:t xml:space="preserve">见本工程《建设工程委托监理合同》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关于监理人的监理权限：</w:t>
      </w:r>
      <w:r>
        <w:rPr>
          <w:rFonts w:hint="eastAsia" w:ascii="宋体" w:hAnsi="宋体"/>
          <w:color w:val="auto"/>
          <w:szCs w:val="21"/>
          <w:highlight w:val="none"/>
          <w:u w:val="single"/>
        </w:rPr>
        <w:t xml:space="preserve">见本工程《建设工程委托监理合同》</w:t>
      </w:r>
      <w:r>
        <w:rPr>
          <w:rFonts w:hint="eastAsia" w:ascii="宋体" w:hAnsi="宋体"/>
          <w:color w:val="auto"/>
          <w:szCs w:val="21"/>
          <w:highlight w:val="none"/>
        </w:rPr>
        <w:t xml:space="preserve">。 </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关于监理人在施工现场的办公场所、生活场所的提供和费用承担的约定：</w:t>
      </w:r>
      <w:r>
        <w:rPr>
          <w:rFonts w:hint="eastAsia" w:ascii="宋体" w:hAnsi="宋体"/>
          <w:color w:val="auto"/>
          <w:szCs w:val="21"/>
          <w:highlight w:val="none"/>
          <w:u w:val="single"/>
        </w:rPr>
        <w:t xml:space="preserve">监理自行确定办公用房，费用自理</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4.2 监理人员</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总监理工程师：</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姓    名：</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职    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监理工程师执业资格证书号：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联系电话：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电子信箱：</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通信地址：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关于监理人的其他约定：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4.4 商定或确定</w:t>
      </w:r>
      <w:r/>
    </w:p>
    <w:p>
      <w:pPr>
        <w:ind w:firstLine="420"/>
        <w:spacing w:line="400" w:lineRule="exact"/>
        <w:rPr>
          <w:rFonts w:hint="eastAsia" w:ascii="宋体" w:hAnsi="宋体"/>
          <w:color w:val="auto"/>
          <w:szCs w:val="21"/>
          <w:highlight w:val="none"/>
        </w:rPr>
      </w:pPr>
      <w:r/>
      <w:bookmarkStart w:id="326" w:name="_Toc267251418"/>
      <w:r>
        <w:rPr>
          <w:rFonts w:hint="eastAsia" w:ascii="宋体" w:hAnsi="宋体"/>
          <w:color w:val="auto"/>
          <w:szCs w:val="21"/>
          <w:highlight w:val="none"/>
        </w:rPr>
        <w:t xml:space="preserve">在发包人和承包人不能通过协商达成一致意见时，发包人授权监理人对以下事项进行确定：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
          <w:bCs/>
          <w:color w:val="auto"/>
          <w:sz w:val="28"/>
          <w:highlight w:val="none"/>
        </w:rPr>
        <w:outlineLvl w:val="3"/>
      </w:pPr>
      <w:r/>
      <w:bookmarkStart w:id="327" w:name="_Toc351203637"/>
      <w:r>
        <w:rPr>
          <w:rFonts w:hint="eastAsia" w:ascii="宋体" w:hAnsi="宋体" w:eastAsia="黑体"/>
          <w:b/>
          <w:bCs/>
          <w:color w:val="auto"/>
          <w:sz w:val="28"/>
          <w:highlight w:val="none"/>
        </w:rPr>
        <w:t xml:space="preserve">5</w:t>
      </w:r>
      <w:bookmarkEnd w:id="326"/>
      <w:r/>
      <w:bookmarkStart w:id="328" w:name="_Toc297048349"/>
      <w:r/>
      <w:bookmarkStart w:id="329" w:name="_Toc296346664"/>
      <w:r/>
      <w:bookmarkStart w:id="330" w:name="_Toc292559872"/>
      <w:r/>
      <w:bookmarkStart w:id="331" w:name="_Toc296503163"/>
      <w:r/>
      <w:bookmarkStart w:id="332" w:name="_Toc296890991"/>
      <w:r/>
      <w:bookmarkStart w:id="333" w:name="_Toc296347162"/>
      <w:r/>
      <w:bookmarkStart w:id="334" w:name="_Toc292559367"/>
      <w:r/>
      <w:bookmarkStart w:id="335" w:name="_Toc296891203"/>
      <w:r/>
      <w:bookmarkStart w:id="336" w:name="_Toc296944502"/>
      <w:r/>
      <w:bookmarkStart w:id="337" w:name="_Toc297120463"/>
      <w:r>
        <w:rPr>
          <w:rFonts w:hint="eastAsia" w:ascii="宋体" w:hAnsi="宋体" w:eastAsia="黑体"/>
          <w:b/>
          <w:bCs/>
          <w:color w:val="auto"/>
          <w:sz w:val="28"/>
          <w:highlight w:val="none"/>
        </w:rPr>
        <w:t xml:space="preserve">. 工程质量</w:t>
      </w:r>
      <w:bookmarkEnd w:id="327"/>
      <w:r/>
      <w:r/>
    </w:p>
    <w:p>
      <w:pPr>
        <w:ind w:firstLine="422"/>
        <w:spacing w:line="400" w:lineRule="exact"/>
        <w:rPr>
          <w:rFonts w:hint="eastAsia" w:ascii="宋体" w:hAnsi="宋体"/>
          <w:b/>
          <w:color w:val="auto"/>
          <w:szCs w:val="21"/>
          <w:highlight w:val="none"/>
        </w:rPr>
        <w:outlineLvl w:val="0"/>
      </w:pPr>
      <w:r/>
      <w:bookmarkStart w:id="338" w:name="_Toc17376"/>
      <w:r/>
      <w:bookmarkStart w:id="339" w:name="_Toc24017"/>
      <w:r>
        <w:rPr>
          <w:rFonts w:hint="eastAsia" w:ascii="宋体" w:hAnsi="宋体"/>
          <w:b/>
          <w:color w:val="auto"/>
          <w:szCs w:val="21"/>
          <w:highlight w:val="none"/>
        </w:rPr>
        <w:t xml:space="preserve">5.1 质量要求</w:t>
      </w:r>
      <w:bookmarkEnd w:id="338"/>
      <w:r/>
      <w:bookmarkEnd w:id="339"/>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5</w:t>
      </w:r>
      <w:bookmarkStart w:id="340" w:name="_Toc297216155"/>
      <w:r/>
      <w:bookmarkStart w:id="341" w:name="_Toc304295527"/>
      <w:r/>
      <w:bookmarkStart w:id="342" w:name="_Toc312677997"/>
      <w:r/>
      <w:bookmarkStart w:id="343" w:name="_Toc303539106"/>
      <w:r/>
      <w:bookmarkStart w:id="344" w:name="_Toc300934949"/>
      <w:r/>
      <w:bookmarkStart w:id="345" w:name="_Toc297123496"/>
      <w:r/>
      <w:bookmarkStart w:id="346" w:name="_Toc318581164"/>
      <w:r>
        <w:rPr>
          <w:rFonts w:hint="eastAsia" w:ascii="宋体" w:hAnsi="宋体"/>
          <w:color w:val="auto"/>
          <w:szCs w:val="21"/>
          <w:highlight w:val="none"/>
        </w:rPr>
        <w:t xml:space="preserve">.1.1 特殊质量标准和要求：</w:t>
      </w:r>
      <w:r>
        <w:rPr>
          <w:rFonts w:hint="eastAsia" w:ascii="宋体" w:hAnsi="宋体"/>
          <w:color w:val="auto"/>
          <w:szCs w:val="21"/>
          <w:highlight w:val="none"/>
          <w:u w:val="single"/>
        </w:rPr>
        <w:t xml:space="preserve">工程质量达不到本合同约定要求，发包人有权没收全部的质量保证金，施工单位须无偿返工直至达到合格。</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根据工程规模和质监部门要求确定，本工程约定验收部位至少且必须包括基础、主体、竣工预验收、竣工验收、综合竣工验收。如不能按招标文件要求验收合格，发包人有权从工程款中直接扣除罚款（10万元/次）。并由承包人承担责任及返工修复并承担费用，直至验收合格为止。关键工序施工完毕后，须经监理、发包人验收合格并签字后（承包人应在验收前向监理提交工程验收资料），方可进行下道工序施工</w:t>
      </w:r>
      <w:r>
        <w:rPr>
          <w:rFonts w:hint="eastAsia" w:ascii="宋体" w:hAnsi="宋体" w:cs="宋体"/>
          <w:color w:val="auto"/>
          <w:szCs w:val="21"/>
          <w:highlight w:val="none"/>
          <w:u w:val="single"/>
        </w:rPr>
        <w:t xml:space="preserve">，如未报验进入下道工序施工，承包人应向发包人支付违约金1万元/次</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承包人未经发包人书面同意擅自将隐蔽工程隐蔽的，发包人要求验收的，承包人应当配合，返工所发生的费用（如检查费、返工费、材料费等）全部由承包人承担，承包人还应承担工期延误的违约责任。</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u w:val="single"/>
        </w:rPr>
        <w:t xml:space="preserve">技术处理（含地基处理、暗河清理、回填等）必须满足施工要求，处理方法在施工前必须获得设计单位的书面同意。</w:t>
      </w:r>
      <w:r/>
    </w:p>
    <w:p>
      <w:pPr>
        <w:ind w:firstLine="420"/>
        <w:jc w:val="left"/>
        <w:spacing w:line="440" w:lineRule="exact"/>
        <w:rPr>
          <w:rFonts w:hint="eastAsia" w:ascii="宋体" w:hAnsi="宋体" w:cs="宋体"/>
          <w:color w:val="auto"/>
          <w:szCs w:val="32"/>
          <w:highlight w:val="none"/>
          <w:u w:val="single"/>
        </w:rPr>
      </w:pPr>
      <w:r>
        <w:rPr>
          <w:rFonts w:hint="eastAsia" w:ascii="宋体" w:hAnsi="宋体" w:cs="宋体"/>
          <w:color w:val="auto"/>
          <w:szCs w:val="32"/>
          <w:highlight w:val="none"/>
          <w:u w:val="single"/>
        </w:rPr>
        <w:t xml:space="preserve">施工单位必须按照有关标准、规范和经审查合格的施工图设计文件进行施工，施工重要部位、关键工序必须编制专项施工方案，不得擅自修改工程设计，抗震构造措施必须严格按照国家和省级有关规定执行。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关于工程奖项的约定：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outlineLvl w:val="0"/>
      </w:pPr>
      <w:r/>
      <w:bookmarkStart w:id="347" w:name="_Toc31307"/>
      <w:r/>
      <w:bookmarkStart w:id="348" w:name="_Toc6246"/>
      <w:r>
        <w:rPr>
          <w:rFonts w:hint="eastAsia" w:ascii="宋体" w:hAnsi="宋体"/>
          <w:b/>
          <w:color w:val="auto"/>
          <w:szCs w:val="21"/>
          <w:highlight w:val="none"/>
        </w:rPr>
        <w:t xml:space="preserve">5.3 隐蔽工程检查</w:t>
      </w:r>
      <w:bookmarkEnd w:id="347"/>
      <w:r/>
      <w:bookmarkEnd w:id="3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5.3.2承包人提前通知监理人隐蔽工程检查的期限的约定：</w:t>
      </w:r>
      <w:r>
        <w:rPr>
          <w:rFonts w:hint="eastAsia" w:ascii="宋体" w:hAnsi="宋体"/>
          <w:color w:val="auto"/>
          <w:szCs w:val="21"/>
          <w:highlight w:val="none"/>
          <w:u w:val="single"/>
        </w:rPr>
        <w:t xml:space="preserve">共同检查前24小时书面通知监理人</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监理人不能按时进行检查时，应提前</w:t>
      </w:r>
      <w:r>
        <w:rPr>
          <w:rFonts w:hint="eastAsia" w:ascii="宋体" w:hAnsi="宋体"/>
          <w:color w:val="auto"/>
          <w:szCs w:val="21"/>
          <w:highlight w:val="none"/>
          <w:u w:val="single"/>
        </w:rPr>
        <w:t xml:space="preserve">12</w:t>
      </w:r>
      <w:r>
        <w:rPr>
          <w:rFonts w:hint="eastAsia" w:ascii="宋体" w:hAnsi="宋体"/>
          <w:color w:val="auto"/>
          <w:szCs w:val="21"/>
          <w:highlight w:val="none"/>
        </w:rPr>
        <w:t xml:space="preserve">小时提交书面延期要求。</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24</w:t>
      </w:r>
      <w:r>
        <w:rPr>
          <w:rFonts w:hint="eastAsia" w:ascii="宋体" w:hAnsi="宋体"/>
          <w:color w:val="auto"/>
          <w:szCs w:val="21"/>
          <w:highlight w:val="none"/>
        </w:rPr>
        <w:t xml:space="preserve">小时。</w:t>
      </w:r>
      <w:r/>
    </w:p>
    <w:p>
      <w:pPr>
        <w:keepLines/>
        <w:keepNext/>
        <w:spacing w:before="280" w:after="290" w:line="400" w:lineRule="exact"/>
        <w:rPr>
          <w:rFonts w:hint="eastAsia" w:ascii="宋体" w:hAnsi="宋体" w:eastAsia="黑体"/>
          <w:b/>
          <w:bCs/>
          <w:color w:val="auto"/>
          <w:sz w:val="28"/>
          <w:highlight w:val="none"/>
        </w:rPr>
        <w:outlineLvl w:val="3"/>
      </w:pPr>
      <w:r/>
      <w:bookmarkStart w:id="349" w:name="_Toc351203638"/>
      <w:r>
        <w:rPr>
          <w:rFonts w:hint="eastAsia" w:ascii="宋体" w:hAnsi="宋体" w:eastAsia="黑体"/>
          <w:b/>
          <w:bCs/>
          <w:color w:val="auto"/>
          <w:sz w:val="28"/>
          <w:highlight w:val="none"/>
        </w:rPr>
        <w:t xml:space="preserve">6. 安全文明施工与环境保护</w:t>
      </w:r>
      <w:bookmarkEnd w:id="349"/>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6.1安全文明施工</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6.1.1 项目安全生产的达标目标及相应事项的约定：</w:t>
      </w:r>
      <w:r>
        <w:rPr>
          <w:rFonts w:hint="eastAsia" w:ascii="宋体" w:hAnsi="宋体"/>
          <w:color w:val="auto"/>
          <w:szCs w:val="21"/>
          <w:highlight w:val="none"/>
          <w:u w:val="single"/>
        </w:rPr>
        <w:t xml:space="preserve">要求达到《建筑施工安全检查标准》（JGJ59-2011）标准，承包人应严格按工程建设安全生产的有关规定，采取安全措施组织施工。若发生安全责任事故，一切责任由承包人承担。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应尽到总承包单位的义务，对施工现场的安全生产管理负总责，承包人在工地现场必须按规定要求配备专职安全员。承包人施工组织设计中必须编制安全技术措施和施工现场临时用电方案，对达到一定规模的危险性较大的分部分项工程编制专项施工方案，并附安全验算结果，经施工单位技术负责人、总监理工程师签字后实施，由专职安全员进行现场监督。</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承包人使用的安全防护用具、机械设备、施工机具及配件，应当具有生产（制造）许可证、产品合格证，并在进入施工现场前进行查验，经监理工程师签字确认后方可使用；</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提供和维修施工使用照明、警示照明、围栏设施，指示标志、警告标志、禁止标志等安全防护措施。</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承包人若不按工程建设安全生产的有关规定组织施工及设置安全设施，或发生较大安全责任事故的，发包人有权没收安全保证金。</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6.1.4 关于治安保卫的特别约定：</w:t>
      </w:r>
      <w:r>
        <w:rPr>
          <w:rFonts w:hint="eastAsia" w:ascii="宋体" w:hAnsi="宋体"/>
          <w:color w:val="auto"/>
          <w:szCs w:val="21"/>
          <w:highlight w:val="none"/>
          <w:u w:val="single"/>
        </w:rPr>
        <w:t xml:space="preserve">按通用条款执行</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关于编制施工场地治安管理计划的约定：</w:t>
      </w:r>
      <w:r>
        <w:rPr>
          <w:rFonts w:hint="eastAsia" w:ascii="宋体" w:hAnsi="宋体"/>
          <w:color w:val="auto"/>
          <w:szCs w:val="21"/>
          <w:highlight w:val="none"/>
          <w:u w:val="single"/>
        </w:rPr>
        <w:t xml:space="preserve">承包人在开工前提供施工场地治安管理计划，负责夜间和非夜间的安全巡逻和保卫，统一管理施工场地治安保卫事项并承担相应责任。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6.1.5 文明施工</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olor w:val="auto"/>
          <w:szCs w:val="21"/>
          <w:highlight w:val="none"/>
        </w:rPr>
        <w:t xml:space="preserve">合同当事人对文明施工的要求：</w:t>
      </w:r>
      <w:r>
        <w:rPr>
          <w:rFonts w:hint="eastAsia" w:ascii="宋体" w:hAnsi="宋体" w:cs="宋体"/>
          <w:color w:val="auto"/>
          <w:szCs w:val="21"/>
          <w:highlight w:val="none"/>
          <w:u w:val="single"/>
        </w:rPr>
        <w:t xml:space="preserve">达到《建筑与市政施工现场安全卫生与职业健康通用规范》（GB55034-2022），施工场地要设立标语、标牌，做到文明施工，树立企业形象，主动接受社会监督和有关部门的管理；遵守政府有关主管部门对施工场地交通、施工噪音、环境保护和安全生产等的管理规定，按规定办理有关手续，并承担相关费用，因承包人原因造成的罚款及给发包人造成的损失由承包人自行承担，并以书面形式告知发包人</w:t>
      </w:r>
      <w:r>
        <w:rPr>
          <w:rFonts w:hint="eastAsia" w:ascii="宋体" w:hAnsi="宋体" w:cs="宋体"/>
          <w:color w:val="auto"/>
          <w:szCs w:val="21"/>
          <w:highlight w:val="none"/>
        </w:rPr>
        <w:t xml:space="preserve">。</w:t>
      </w:r>
      <w:r/>
    </w:p>
    <w:p>
      <w:pPr>
        <w:ind w:firstLine="420"/>
        <w:spacing w:line="360" w:lineRule="auto"/>
        <w:tabs>
          <w:tab w:val="left" w:pos="8684" w:leader="none"/>
        </w:tabs>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施工现场的材料堆放要整齐，机械停放有序，做到工完料清；遵守环境卫生管理的有关规定，符合清洁卫生要求；定期地将所有建筑垃圾从施工场地清除，并运出场外；交工前，将所有剩余的建筑材料运走或运至指定地点堆放，将所有施工机械和设备从施工场地运走。承包人须按照国家、省、市相关标准及发包人要求做好扬尘控制、土方清运工作</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s="宋体"/>
          <w:color w:val="auto"/>
          <w:szCs w:val="21"/>
          <w:highlight w:val="none"/>
        </w:rPr>
        <w:t xml:space="preserve">6.1.6 关于安全文明施工费支付比例和支付期限的约定：</w:t>
      </w:r>
      <w:bookmarkEnd w:id="340"/>
      <w:r/>
      <w:bookmarkEnd w:id="341"/>
      <w:r/>
      <w:bookmarkEnd w:id="342"/>
      <w:r/>
      <w:bookmarkEnd w:id="343"/>
      <w:r/>
      <w:bookmarkEnd w:id="344"/>
      <w:r/>
      <w:bookmarkEnd w:id="345"/>
      <w:r/>
      <w:bookmarkEnd w:id="346"/>
      <w:r/>
      <w:bookmarkStart w:id="350" w:name="_Toc351203639"/>
      <w:r>
        <w:rPr>
          <w:rFonts w:hint="eastAsia" w:ascii="宋体" w:hAnsi="宋体" w:cs="宋体"/>
          <w:color w:val="auto"/>
          <w:szCs w:val="21"/>
          <w:highlight w:val="none"/>
          <w:u w:val="single"/>
        </w:rPr>
        <w:t xml:space="preserve">纳入合同价款支付。</w:t>
      </w:r>
      <w:r/>
    </w:p>
    <w:p>
      <w:pPr>
        <w:ind w:firstLine="420"/>
        <w:jc w:val="left"/>
        <w:spacing w:line="400" w:lineRule="exact"/>
        <w:widowControl/>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6.1.7安全生产责任承包人应严格按《建设工程安全生产管理条例》等法律、法规采取安全措施、组织施工，承包人须对本合同范围内所有施工范围和施工人员负全部安全施工责任。承包人应严格按工程建设安全生产地有关管理规定，采取安全措施组织施工。若发生安全事故，一切责任由承包方承担。承包人对因工程施工可能造成</w:t>
      </w:r>
      <w:r>
        <w:rPr>
          <w:rFonts w:hint="eastAsia" w:ascii="宋体" w:hAnsi="宋体" w:cs="宋体"/>
          <w:color w:val="auto"/>
          <w:szCs w:val="21"/>
          <w:highlight w:val="none"/>
          <w:u w:val="single"/>
        </w:rPr>
        <w:t xml:space="preserve">损害的毗邻建筑物、构筑物和地下管线等，应当采取专项防护措施。承包人应当遵守有关环境保护法律、法规的规定，在施工现场采取措施，防止或减少粉尘、废气、废水、固体废物、噪声、振动和施工照明对人和环境的危害和污染。承包人必须建立完善的消防管理制度，并有专人负责现场的消防管理，施工现场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2"/>
        <w:jc w:val="left"/>
        <w:spacing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7. 工期和进度</w:t>
      </w:r>
      <w:bookmarkEnd w:id="350"/>
      <w:r/>
      <w:r/>
    </w:p>
    <w:p>
      <w:pPr>
        <w:ind w:firstLine="422"/>
        <w:spacing w:after="120" w:line="40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7.1 施工组织设计</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7.1.1 合同当事人约定的施工组织设计应包括的其他内容：</w:t>
      </w:r>
      <w:r>
        <w:rPr>
          <w:rFonts w:hint="eastAsia" w:ascii="宋体" w:hAnsi="宋体"/>
          <w:color w:val="auto"/>
          <w:szCs w:val="21"/>
          <w:highlight w:val="none"/>
          <w:u w:val="single"/>
        </w:rPr>
        <w:t xml:space="preserve">按招标文件约定，招标文件无约定的按通用条款或双方另行约定。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7.1.2 施工组织设计的提交和修改</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承包人提交详细施工组织设计的期限的约定：</w:t>
      </w:r>
      <w:r>
        <w:rPr>
          <w:rFonts w:hint="eastAsia" w:ascii="宋体" w:hAnsi="宋体"/>
          <w:color w:val="auto"/>
          <w:szCs w:val="21"/>
          <w:highlight w:val="none"/>
          <w:u w:val="single"/>
        </w:rPr>
        <w:t xml:space="preserve">开工前7日。</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发包人和监理人在收到详细的施工组织设计后确认或提出修改意见的期限：</w:t>
      </w:r>
      <w:r>
        <w:rPr>
          <w:rFonts w:hint="eastAsia" w:ascii="宋体" w:hAnsi="宋体"/>
          <w:color w:val="auto"/>
          <w:szCs w:val="21"/>
          <w:highlight w:val="none"/>
          <w:u w:val="single"/>
        </w:rPr>
        <w:t xml:space="preserve">收到后5天内予以确认或提出修改意见</w:t>
      </w:r>
      <w:r>
        <w:rPr>
          <w:rFonts w:hint="eastAsia" w:ascii="宋体" w:hAnsi="宋体"/>
          <w:b/>
          <w:color w:val="auto"/>
          <w:szCs w:val="21"/>
          <w:highlight w:val="none"/>
        </w:rPr>
        <w:t xml:space="preserve">。</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51" w:name="_Toc300934966"/>
      <w:r/>
      <w:bookmarkStart w:id="352" w:name="_Toc312677479"/>
      <w:r/>
      <w:bookmarkStart w:id="353" w:name="_Toc304295541"/>
      <w:r/>
      <w:bookmarkStart w:id="354" w:name="_Toc297123514"/>
      <w:r/>
      <w:bookmarkStart w:id="355" w:name="_Toc303539123"/>
      <w:r/>
      <w:bookmarkStart w:id="356" w:name="_Toc312678005"/>
      <w:r/>
      <w:bookmarkStart w:id="357" w:name="_Toc297216173"/>
      <w:r>
        <w:rPr>
          <w:rFonts w:hint="eastAsia" w:ascii="宋体" w:hAnsi="宋体"/>
          <w:b/>
          <w:color w:val="auto"/>
          <w:szCs w:val="21"/>
          <w:highlight w:val="none"/>
        </w:rPr>
        <w:t xml:space="preserve">.2 施工进度计划</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7.2.2 施工进度计划的修订</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发包人和监理人在收到修订的施工进度计划后确认或提出修改意见的期限：</w:t>
      </w:r>
      <w:r>
        <w:rPr>
          <w:rFonts w:hint="eastAsia" w:ascii="宋体" w:hAnsi="宋体"/>
          <w:color w:val="auto"/>
          <w:szCs w:val="21"/>
          <w:highlight w:val="none"/>
          <w:u w:val="single"/>
        </w:rPr>
        <w:t xml:space="preserve">收到后5天内；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承包人每周五下午5：00前提供下周计划和本周完成情况统计表（一式三份）交监理机构。</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施工月进度计划：第一次在开工前7日，以后在上月25日前提供；在每月25日前，将本月进度统计报表及纠偏措施与下月施工进度计划同时提供。</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7.3 开工</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7.3.1 开工准备</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关于承包人提交工程开工报审表的期限：</w:t>
      </w:r>
      <w:r>
        <w:rPr>
          <w:rFonts w:hint="eastAsia" w:ascii="宋体" w:hAnsi="宋体"/>
          <w:color w:val="auto"/>
          <w:szCs w:val="21"/>
          <w:highlight w:val="none"/>
          <w:u w:val="single"/>
        </w:rPr>
        <w:t xml:space="preserve">合同签订后、开工前</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关于发包人应完成的其他开工准备工作及期限：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关于承包人应完成的其他开工准备工作及期限：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7.3.2开工通知</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因发包人原因造成监理人未能在计划开工日期之日起</w:t>
      </w:r>
      <w:r>
        <w:rPr>
          <w:rFonts w:hint="eastAsia" w:ascii="宋体" w:hAnsi="宋体"/>
          <w:color w:val="auto"/>
          <w:szCs w:val="21"/>
          <w:highlight w:val="none"/>
          <w:u w:val="single"/>
        </w:rPr>
        <w:t xml:space="preserve">90</w:t>
      </w:r>
      <w:r>
        <w:rPr>
          <w:rFonts w:hint="eastAsia" w:ascii="宋体" w:hAnsi="宋体"/>
          <w:color w:val="auto"/>
          <w:szCs w:val="21"/>
          <w:highlight w:val="none"/>
        </w:rPr>
        <w:t xml:space="preserve">天内发出开工通知的，承包人有权提出价格调整要求，或者解除合同。</w:t>
      </w:r>
      <w:bookmarkEnd w:id="351"/>
      <w:r/>
      <w:bookmarkEnd w:id="352"/>
      <w:r/>
      <w:bookmarkEnd w:id="353"/>
      <w:r/>
      <w:bookmarkEnd w:id="354"/>
      <w:r/>
      <w:bookmarkEnd w:id="355"/>
      <w:r/>
      <w:bookmarkEnd w:id="356"/>
      <w:r/>
      <w:bookmarkEnd w:id="357"/>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7.4 测量放线</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7.4.1发包人通过监理人向承包人提供测量基准点、基准线和水准点及其书面资料的期限：</w:t>
      </w:r>
      <w:r>
        <w:rPr>
          <w:rFonts w:hint="eastAsia" w:ascii="宋体" w:hAnsi="宋体"/>
          <w:color w:val="auto"/>
          <w:szCs w:val="21"/>
          <w:highlight w:val="none"/>
          <w:u w:val="single"/>
        </w:rPr>
        <w:t xml:space="preserve">按通用条款。</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58" w:name="_Toc303539125"/>
      <w:r/>
      <w:bookmarkStart w:id="359" w:name="_Toc297216175"/>
      <w:r/>
      <w:bookmarkStart w:id="360" w:name="_Toc297123516"/>
      <w:r/>
      <w:bookmarkStart w:id="361" w:name="_Toc312677484"/>
      <w:r/>
      <w:bookmarkStart w:id="362" w:name="_Toc304295546"/>
      <w:r/>
      <w:bookmarkStart w:id="363" w:name="_Toc300934968"/>
      <w:r/>
      <w:bookmarkStart w:id="364" w:name="_Toc312678010"/>
      <w:r>
        <w:rPr>
          <w:rFonts w:hint="eastAsia" w:ascii="宋体" w:hAnsi="宋体"/>
          <w:b/>
          <w:color w:val="auto"/>
          <w:szCs w:val="21"/>
          <w:highlight w:val="none"/>
        </w:rPr>
        <w:t xml:space="preserve">.5 工期延误</w:t>
      </w:r>
      <w:bookmarkEnd w:id="358"/>
      <w:r/>
      <w:bookmarkEnd w:id="359"/>
      <w:r/>
      <w:bookmarkEnd w:id="360"/>
      <w:r/>
      <w:bookmarkEnd w:id="361"/>
      <w:r/>
      <w:bookmarkEnd w:id="362"/>
      <w:r/>
      <w:bookmarkEnd w:id="363"/>
      <w:r/>
      <w:bookmarkEnd w:id="36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7.5.1 因发包人原因导致工期延误</w:t>
      </w:r>
      <w:r/>
    </w:p>
    <w:p>
      <w:pPr>
        <w:ind w:firstLine="420"/>
        <w:jc w:val="left"/>
        <w:spacing w:line="400" w:lineRule="exact"/>
        <w:widowControl/>
        <w:rPr>
          <w:rFonts w:ascii="宋体" w:hAnsi="宋体" w:cs="宋体"/>
          <w:color w:val="auto"/>
          <w:szCs w:val="21"/>
          <w:highlight w:val="none"/>
        </w:rPr>
      </w:pPr>
      <w:r>
        <w:rPr>
          <w:rFonts w:hint="eastAsia" w:ascii="宋体" w:hAnsi="宋体"/>
          <w:color w:val="auto"/>
          <w:szCs w:val="21"/>
          <w:highlight w:val="none"/>
        </w:rPr>
        <w:t xml:space="preserve">（7）因发包人原因导致工期延误的其他情形：</w:t>
      </w:r>
      <w:r>
        <w:rPr>
          <w:rFonts w:hint="eastAsia" w:ascii="宋体" w:hAnsi="宋体" w:cs="宋体"/>
          <w:color w:val="auto"/>
          <w:szCs w:val="21"/>
          <w:highlight w:val="none"/>
          <w:u w:val="single"/>
        </w:rPr>
        <w:t xml:space="preserve">①按通用条款；②非承包人原因造成的停工（如群众上访等）、停水、停电超过24小时的；③政策性文件要求需停工（如文明城市检查、环保检查等）的情况；④因设计变更影响关键施工线路的；⑤因供电、供水、燃气等专业工程原因造成工期延误，得到监理机构签认，并报发包人书面批准方可顺延；⑥由市级以上有关部门正式发布和认定的自然灾害</w:t>
      </w:r>
      <w:r>
        <w:rPr>
          <w:rFonts w:hint="eastAsia" w:ascii="宋体" w:hAnsi="宋体" w:cs="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上述情况发生后7日内，承包人须就延误的内容，向发包人提交书面报告办理延期手续，经发包人批准后方可顺延工期，否则工期不予顺延；承包人逾期未提交书面报告的，视为承包人放弃要求工期顺延。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因发包人原因导致工期延误，不论工期是否顺延，承包人不得向发包人主张相应的误工、窝工等费用赔偿，发包人不对此承担任何违约和赔偿责任。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w:t>
      </w:r>
      <w:bookmarkStart w:id="365" w:name="_Toc318581169"/>
      <w:r/>
      <w:bookmarkStart w:id="366" w:name="_Toc312678012"/>
      <w:r/>
      <w:bookmarkStart w:id="367" w:name="_Toc312677486"/>
      <w:r/>
      <w:bookmarkStart w:id="368" w:name="_Toc303539127"/>
      <w:r/>
      <w:bookmarkStart w:id="369" w:name="_Toc300934970"/>
      <w:r/>
      <w:bookmarkStart w:id="370" w:name="_Toc304295548"/>
      <w:r/>
      <w:bookmarkStart w:id="371" w:name="_Toc297216177"/>
      <w:r/>
      <w:bookmarkStart w:id="372" w:name="_Toc297123518"/>
      <w:r>
        <w:rPr>
          <w:rFonts w:hint="eastAsia" w:ascii="宋体" w:hAnsi="宋体"/>
          <w:color w:val="auto"/>
          <w:szCs w:val="21"/>
          <w:highlight w:val="none"/>
        </w:rPr>
        <w:t xml:space="preserve">.5.2 因承包人原因导致工期延误</w:t>
      </w:r>
      <w:bookmarkEnd w:id="365"/>
      <w:r/>
      <w:bookmarkEnd w:id="366"/>
      <w:r/>
      <w:bookmarkEnd w:id="367"/>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因</w:t>
      </w:r>
      <w:bookmarkStart w:id="373" w:name="_Toc318581170"/>
      <w:r/>
      <w:bookmarkStart w:id="374" w:name="_Toc312677487"/>
      <w:r/>
      <w:bookmarkStart w:id="375" w:name="_Toc312678013"/>
      <w:r>
        <w:rPr>
          <w:rFonts w:hint="eastAsia" w:ascii="宋体" w:hAnsi="宋体"/>
          <w:color w:val="auto"/>
          <w:szCs w:val="21"/>
          <w:highlight w:val="none"/>
        </w:rPr>
        <w:t xml:space="preserve">承包人原因造成工期延误，逾期竣工违约金的计算方法为：</w:t>
      </w:r>
      <w:bookmarkEnd w:id="368"/>
      <w:r/>
      <w:bookmarkEnd w:id="369"/>
      <w:r/>
      <w:bookmarkEnd w:id="370"/>
      <w:r/>
      <w:bookmarkEnd w:id="371"/>
      <w:r/>
      <w:bookmarkEnd w:id="372"/>
      <w:r/>
      <w:bookmarkEnd w:id="373"/>
      <w:r/>
      <w:bookmarkEnd w:id="374"/>
      <w:r/>
      <w:bookmarkEnd w:id="375"/>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因承包人原因延误总工期每延迟一天罚款1000元，超过15天（含15天）工期履约保证金不退还，并处以工程结算价为基数每天千分之五罚款，其他按通用条款中约定的内容执行。</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因承包人原因未及时开工，按照约定的开工日期，每拖延一天罚款1000元。</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未经发包人书面批准，承包人超过本合同约定的开工日期10天仍未开工或连续停工5天以上的，发包人有权单方解除本合同，对已完成的工程量不支付工程款。</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因承包人原因造成工期延误，逾</w:t>
      </w:r>
      <w:bookmarkStart w:id="376" w:name="_Toc312678014"/>
      <w:r/>
      <w:bookmarkStart w:id="377" w:name="_Toc318581171"/>
      <w:r>
        <w:rPr>
          <w:rFonts w:hint="eastAsia" w:ascii="宋体" w:hAnsi="宋体"/>
          <w:color w:val="auto"/>
          <w:szCs w:val="21"/>
          <w:highlight w:val="none"/>
        </w:rPr>
        <w:t xml:space="preserve">期竣工违约金的上限：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bookmarkEnd w:id="376"/>
      <w:r/>
      <w:bookmarkEnd w:id="377"/>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78" w:name="_Toc312678015"/>
      <w:r/>
      <w:bookmarkStart w:id="379" w:name="_Toc304295549"/>
      <w:r/>
      <w:bookmarkStart w:id="380" w:name="_Toc297216178"/>
      <w:r/>
      <w:bookmarkStart w:id="381" w:name="_Toc300934971"/>
      <w:r/>
      <w:bookmarkStart w:id="382" w:name="_Toc297123519"/>
      <w:r/>
      <w:bookmarkStart w:id="383" w:name="_Toc303539128"/>
      <w:r>
        <w:rPr>
          <w:rFonts w:hint="eastAsia" w:ascii="宋体" w:hAnsi="宋体"/>
          <w:b/>
          <w:color w:val="auto"/>
          <w:szCs w:val="21"/>
          <w:highlight w:val="none"/>
        </w:rPr>
        <w:t xml:space="preserve">.6 不</w:t>
      </w:r>
      <w:bookmarkEnd w:id="378"/>
      <w:r/>
      <w:bookmarkEnd w:id="379"/>
      <w:r/>
      <w:bookmarkEnd w:id="380"/>
      <w:r/>
      <w:bookmarkEnd w:id="381"/>
      <w:r/>
      <w:bookmarkEnd w:id="382"/>
      <w:r/>
      <w:bookmarkEnd w:id="383"/>
      <w:r>
        <w:rPr>
          <w:rFonts w:hint="eastAsia" w:ascii="宋体" w:hAnsi="宋体"/>
          <w:b/>
          <w:color w:val="auto"/>
          <w:szCs w:val="21"/>
          <w:highlight w:val="none"/>
        </w:rPr>
        <w:t xml:space="preserve">利物质条件</w:t>
      </w:r>
      <w:r/>
    </w:p>
    <w:p>
      <w:pPr>
        <w:ind w:firstLine="420"/>
        <w:jc w:val="left"/>
        <w:spacing w:line="400" w:lineRule="exact"/>
        <w:rPr>
          <w:rFonts w:hint="eastAsia" w:ascii="宋体" w:hAnsi="宋体"/>
          <w:color w:val="auto"/>
          <w:szCs w:val="21"/>
          <w:highlight w:val="none"/>
        </w:rPr>
      </w:pPr>
      <w:r/>
      <w:bookmarkStart w:id="384" w:name="_Toc303539129"/>
      <w:r/>
      <w:bookmarkStart w:id="385" w:name="_Toc318581172"/>
      <w:r/>
      <w:bookmarkStart w:id="386" w:name="_Toc300934972"/>
      <w:r/>
      <w:bookmarkStart w:id="387" w:name="_Toc304295550"/>
      <w:r/>
      <w:bookmarkStart w:id="388" w:name="_Toc297216179"/>
      <w:r/>
      <w:bookmarkStart w:id="389" w:name="_Toc297123520"/>
      <w:r/>
      <w:bookmarkStart w:id="390" w:name="_Toc312678016"/>
      <w:r>
        <w:rPr>
          <w:rFonts w:hint="eastAsia" w:ascii="宋体" w:hAnsi="宋体"/>
          <w:color w:val="auto"/>
          <w:szCs w:val="21"/>
          <w:highlight w:val="none"/>
        </w:rPr>
        <w:t xml:space="preserve">不利物质条件的其他情形和有关约定：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384"/>
      <w:r/>
      <w:bookmarkEnd w:id="385"/>
      <w:r/>
      <w:bookmarkEnd w:id="386"/>
      <w:r/>
      <w:bookmarkEnd w:id="387"/>
      <w:r/>
      <w:bookmarkEnd w:id="388"/>
      <w:r/>
      <w:bookmarkEnd w:id="389"/>
      <w:r/>
      <w:bookmarkEnd w:id="390"/>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7</w:t>
      </w:r>
      <w:bookmarkStart w:id="391" w:name="_Toc297216180"/>
      <w:r/>
      <w:bookmarkStart w:id="392" w:name="_Toc312678017"/>
      <w:r/>
      <w:bookmarkStart w:id="393" w:name="_Toc300934973"/>
      <w:r/>
      <w:bookmarkStart w:id="394" w:name="_Toc297123521"/>
      <w:r/>
      <w:bookmarkStart w:id="395" w:name="_Toc304295551"/>
      <w:r/>
      <w:bookmarkStart w:id="396" w:name="_Toc303539130"/>
      <w:r>
        <w:rPr>
          <w:rFonts w:hint="eastAsia" w:ascii="宋体" w:hAnsi="宋体"/>
          <w:b/>
          <w:color w:val="auto"/>
          <w:szCs w:val="21"/>
          <w:highlight w:val="none"/>
        </w:rPr>
        <w:t xml:space="preserve">.7异常恶劣的气候条件</w:t>
      </w:r>
      <w:bookmarkEnd w:id="391"/>
      <w:r/>
      <w:bookmarkEnd w:id="392"/>
      <w:r/>
      <w:bookmarkEnd w:id="393"/>
      <w:r/>
      <w:bookmarkEnd w:id="394"/>
      <w:r/>
      <w:bookmarkEnd w:id="395"/>
      <w:r/>
      <w:bookmarkEnd w:id="396"/>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发包人和承包人同意以下情形视为异常恶劣的气候条件：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u w:val="single"/>
        </w:rPr>
        <w:t xml:space="preserve">由市级以上有关部门正式发布和认定的自然灾害</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397" w:name="_Toc15559"/>
      <w:r/>
      <w:bookmarkStart w:id="398" w:name="_Toc26321"/>
      <w:r>
        <w:rPr>
          <w:rFonts w:hint="eastAsia" w:ascii="宋体" w:hAnsi="宋体"/>
          <w:color w:val="auto"/>
          <w:szCs w:val="21"/>
          <w:highlight w:val="none"/>
        </w:rPr>
        <w:t xml:space="preserve">7.8 提前竣工的奖励</w:t>
      </w:r>
      <w:bookmarkEnd w:id="397"/>
      <w:r/>
      <w:bookmarkEnd w:id="39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7.8.1提前竣工的奖励：</w:t>
      </w:r>
      <w:r>
        <w:rPr>
          <w:rFonts w:hint="eastAsia" w:ascii="宋体" w:hAnsi="宋体"/>
          <w:color w:val="auto"/>
          <w:szCs w:val="21"/>
          <w:highlight w:val="none"/>
          <w:u w:val="single"/>
        </w:rPr>
        <w:t xml:space="preserve">      无                 </w:t>
      </w:r>
      <w:r>
        <w:rPr>
          <w:rFonts w:hint="eastAsia" w:ascii="宋体" w:hAnsi="宋体"/>
          <w:color w:val="auto"/>
          <w:szCs w:val="21"/>
          <w:highlight w:val="none"/>
        </w:rPr>
        <w:t xml:space="preserve">。</w:t>
      </w:r>
      <w:r/>
    </w:p>
    <w:p>
      <w:pPr>
        <w:ind w:firstLine="420"/>
        <w:keepLines/>
        <w:keepNext/>
        <w:spacing w:before="280" w:after="290" w:line="400" w:lineRule="exact"/>
        <w:rPr>
          <w:rFonts w:ascii="宋体" w:hAnsi="宋体" w:eastAsia="黑体"/>
          <w:b/>
          <w:bCs/>
          <w:color w:val="auto"/>
          <w:sz w:val="28"/>
          <w:highlight w:val="none"/>
        </w:rPr>
        <w:outlineLvl w:val="3"/>
      </w:pPr>
      <w:r/>
      <w:bookmarkStart w:id="399" w:name="_Toc351203640"/>
      <w:r>
        <w:rPr>
          <w:rFonts w:hint="eastAsia" w:ascii="宋体" w:hAnsi="宋体" w:eastAsia="黑体"/>
          <w:b/>
          <w:bCs/>
          <w:color w:val="auto"/>
          <w:sz w:val="28"/>
          <w:highlight w:val="none"/>
        </w:rPr>
        <w:t xml:space="preserve">8. 材料与设备</w:t>
      </w:r>
      <w:bookmarkEnd w:id="399"/>
      <w:r/>
      <w:r/>
    </w:p>
    <w:p>
      <w:pPr>
        <w:ind w:firstLine="420"/>
        <w:spacing w:line="400" w:lineRule="exact"/>
        <w:rPr>
          <w:rFonts w:ascii="Times New Roman" w:hAnsi="Times New Roman"/>
          <w:color w:val="auto"/>
          <w:szCs w:val="21"/>
          <w:highlight w:val="none"/>
        </w:rPr>
      </w:pPr>
      <w:r>
        <w:rPr>
          <w:rFonts w:hint="eastAsia" w:ascii="Times New Roman" w:hAnsi="Times New Roman"/>
          <w:color w:val="auto"/>
          <w:szCs w:val="24"/>
          <w:highlight w:val="none"/>
        </w:rPr>
        <w:t xml:space="preserve">8.2</w:t>
      </w:r>
      <w:r>
        <w:rPr>
          <w:rFonts w:ascii="Times New Roman" w:hAnsi="Times New Roman"/>
          <w:color w:val="auto"/>
          <w:szCs w:val="21"/>
          <w:highlight w:val="none"/>
        </w:rPr>
        <w:t xml:space="preserve">承包人采购材料与工程设备</w:t>
      </w:r>
      <w:r>
        <w:rPr>
          <w:rFonts w:hint="eastAsia" w:ascii="Times New Roman" w:hAnsi="Times New Roman"/>
          <w:color w:val="auto"/>
          <w:szCs w:val="21"/>
          <w:highlight w:val="none"/>
        </w:rPr>
        <w:br w:type="textWrapping" w:clear="all"/>
      </w:r>
      <w:r>
        <w:rPr>
          <w:rFonts w:hint="eastAsia" w:ascii="Times New Roman" w:hAnsi="Times New Roman"/>
          <w:color w:val="auto"/>
          <w:szCs w:val="21"/>
          <w:highlight w:val="none"/>
        </w:rPr>
        <w:tab/>
      </w:r>
      <w:r>
        <w:rPr>
          <w:rFonts w:ascii="Times New Roman" w:hAnsi="Times New Roman"/>
          <w:color w:val="auto"/>
          <w:szCs w:val="21"/>
          <w:highlight w:val="none"/>
        </w:rPr>
        <w:t xml:space="preserve">8.2.1 双方约定由承包人采购的材料必须符合设计文件及有关规范规定的质量要求且须经发包人和监理人事先认可并提供产品的出厂证明、合格证书，要按规定在使用前进行检测或复试，不合格的不得使用，所有费用由承包人承担。发包人及监理人的事先认可并不免除承包人对所采购材料应承担的产品质量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8.2.2工程师或其代表可能要求在承包人或其他代表在场的情况下从每一材料中抽样用作检验，经工程师决定，这样抽取的样品应视为一批材料的代表。</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8.2.3如果任何一批材料中的样品不符合合同要求的，材料全部均予退货，无论是否已经采用与否，其费用全部由承包人支付，且不允许由于更换而延长工期。</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减除承包人在合同范围内的任何责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8.2.5运抵到现场的所有材料，无论在施工进度款中是否已付款，未经总监的书面批准，不得从场搬移出去。</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8.2.6 承包人在材料使用前，须向监理报验，并见证抽样送检。未经确认的材料，不得用于工程，发包人抽查发现使用的材料无报验手续或不合格，可指令停工，要求返工。所发生的费用由承包人承担，工期不予顺延。</w:t>
      </w:r>
      <w:r/>
    </w:p>
    <w:p>
      <w:pPr>
        <w:ind w:firstLine="420"/>
        <w:spacing w:line="400" w:lineRule="exact"/>
        <w:rPr>
          <w:rFonts w:ascii="Times New Roman" w:hAnsi="Times New Roman"/>
          <w:color w:val="auto"/>
          <w:szCs w:val="21"/>
          <w:highlight w:val="none"/>
        </w:rPr>
      </w:pPr>
      <w:r>
        <w:rPr>
          <w:rFonts w:ascii="Times New Roman" w:hAnsi="Times New Roman"/>
          <w:color w:val="auto"/>
          <w:szCs w:val="21"/>
          <w:highlight w:val="none"/>
        </w:rPr>
        <w:t xml:space="preserve">8.2.7 本工程的所有材料，均由承包人按国家标准、设计文件及规范要求自行采购和保管，使用前，要有质保书或出厂合格证，并进行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auto"/>
          <w:szCs w:val="21"/>
          <w:highlight w:val="none"/>
        </w:rPr>
        <w:t xml:space="preserve">检验或试验费用均由承包人承担</w:t>
      </w:r>
      <w:r>
        <w:rPr>
          <w:rFonts w:ascii="Times New Roman" w:hAnsi="Times New Roman"/>
          <w:color w:val="auto"/>
          <w:szCs w:val="21"/>
          <w:highlight w:val="none"/>
        </w:rPr>
        <w:t xml:space="preserve">。</w:t>
      </w:r>
      <w:bookmarkEnd w:id="328"/>
      <w:r/>
      <w:bookmarkEnd w:id="329"/>
      <w:r/>
      <w:bookmarkEnd w:id="330"/>
      <w:r/>
      <w:bookmarkEnd w:id="331"/>
      <w:r/>
      <w:bookmarkEnd w:id="332"/>
      <w:r/>
      <w:bookmarkEnd w:id="333"/>
      <w:r/>
      <w:bookmarkEnd w:id="334"/>
      <w:r/>
      <w:bookmarkEnd w:id="335"/>
      <w:r/>
      <w:bookmarkEnd w:id="336"/>
      <w:r/>
      <w:bookmarkEnd w:id="337"/>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8</w:t>
      </w:r>
      <w:bookmarkStart w:id="400" w:name="_Toc296890995"/>
      <w:r/>
      <w:bookmarkStart w:id="401" w:name="_Toc292559372"/>
      <w:r/>
      <w:bookmarkStart w:id="402" w:name="_Toc297120467"/>
      <w:r/>
      <w:bookmarkStart w:id="403" w:name="_Toc312677493"/>
      <w:r/>
      <w:bookmarkStart w:id="404" w:name="_Toc280868654"/>
      <w:r/>
      <w:bookmarkStart w:id="405" w:name="_Toc292559877"/>
      <w:r/>
      <w:bookmarkStart w:id="406" w:name="_Toc296503167"/>
      <w:r/>
      <w:bookmarkStart w:id="407" w:name="_Toc297123527"/>
      <w:r/>
      <w:bookmarkStart w:id="408" w:name="_Toc312678019"/>
      <w:r/>
      <w:bookmarkStart w:id="409" w:name="_Toc303539136"/>
      <w:r/>
      <w:bookmarkStart w:id="410" w:name="_Toc296891207"/>
      <w:r/>
      <w:bookmarkStart w:id="411" w:name="_Toc296347166"/>
      <w:r/>
      <w:bookmarkStart w:id="412" w:name="_Toc300934979"/>
      <w:r/>
      <w:bookmarkStart w:id="413" w:name="_Toc296346668"/>
      <w:r/>
      <w:bookmarkStart w:id="414" w:name="_Toc297048353"/>
      <w:r/>
      <w:bookmarkStart w:id="415" w:name="_Toc296944506"/>
      <w:r/>
      <w:bookmarkStart w:id="416" w:name="_Toc304295556"/>
      <w:r/>
      <w:bookmarkStart w:id="417" w:name="_Toc297216186"/>
      <w:r/>
      <w:bookmarkStart w:id="418" w:name="_Toc280868656"/>
      <w:r/>
      <w:bookmarkStart w:id="419" w:name="_Toc280868655"/>
      <w:r/>
      <w:bookmarkStart w:id="420" w:name="_Toc267251424"/>
      <w:r>
        <w:rPr>
          <w:rFonts w:hint="eastAsia" w:ascii="宋体" w:hAnsi="宋体"/>
          <w:color w:val="auto"/>
          <w:szCs w:val="21"/>
          <w:highlight w:val="none"/>
        </w:rPr>
        <w:t xml:space="preserve">.4材料与工程设备的保管与使用</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w:t>
      </w:r>
      <w:bookmarkStart w:id="421" w:name="_Toc292559373"/>
      <w:r/>
      <w:bookmarkStart w:id="422" w:name="_Toc292559878"/>
      <w:r/>
      <w:bookmarkStart w:id="423" w:name="_Toc312678020"/>
      <w:r/>
      <w:bookmarkStart w:id="424" w:name="_Toc312677494"/>
      <w:r/>
      <w:bookmarkStart w:id="425" w:name="_Toc303539137"/>
      <w:r/>
      <w:bookmarkStart w:id="426" w:name="_Toc304295557"/>
      <w:r/>
      <w:bookmarkStart w:id="427" w:name="_Toc296891208"/>
      <w:r/>
      <w:bookmarkStart w:id="428" w:name="_Toc296347167"/>
      <w:r/>
      <w:bookmarkStart w:id="429" w:name="_Toc300934980"/>
      <w:r/>
      <w:bookmarkStart w:id="430" w:name="_Toc296503168"/>
      <w:r/>
      <w:bookmarkStart w:id="431" w:name="_Toc297120468"/>
      <w:r/>
      <w:bookmarkStart w:id="432" w:name="_Toc297216187"/>
      <w:r/>
      <w:bookmarkStart w:id="433" w:name="_Toc318581173"/>
      <w:r/>
      <w:bookmarkStart w:id="434" w:name="_Toc296890996"/>
      <w:r/>
      <w:bookmarkStart w:id="435" w:name="_Toc297048354"/>
      <w:r/>
      <w:bookmarkStart w:id="436" w:name="_Toc297123528"/>
      <w:r/>
      <w:bookmarkStart w:id="437" w:name="_Toc296346669"/>
      <w:r/>
      <w:bookmarkStart w:id="438" w:name="_Toc296944507"/>
      <w:r>
        <w:rPr>
          <w:rFonts w:hint="eastAsia" w:ascii="宋体" w:hAnsi="宋体"/>
          <w:color w:val="auto"/>
          <w:szCs w:val="21"/>
          <w:highlight w:val="none"/>
        </w:rPr>
        <w:t xml:space="preserve">.4.1发包人供应的材料设备的保管费用的承担：</w:t>
      </w:r>
      <w:bookmarkEnd w:id="421"/>
      <w:r/>
      <w:bookmarkEnd w:id="422"/>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 样品</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8.6.1样品的报送与封存</w:t>
      </w:r>
      <w:r/>
    </w:p>
    <w:p>
      <w:pPr>
        <w:ind w:firstLine="420"/>
        <w:jc w:val="left"/>
        <w:spacing w:line="400" w:lineRule="exact"/>
        <w:rPr>
          <w:rFonts w:ascii="宋体" w:hAnsi="宋体"/>
          <w:color w:val="auto"/>
          <w:szCs w:val="21"/>
          <w:highlight w:val="none"/>
        </w:rPr>
      </w:pPr>
      <w:r>
        <w:rPr>
          <w:rFonts w:hint="eastAsia" w:ascii="宋体" w:hAnsi="宋体"/>
          <w:color w:val="auto"/>
          <w:szCs w:val="21"/>
          <w:highlight w:val="none"/>
        </w:rPr>
        <w:t xml:space="preserve">需要承包人报送样品的材料或工程设备，样品的种类、名称、规格、数量要求：</w:t>
      </w:r>
      <w:r>
        <w:rPr>
          <w:rFonts w:hint="eastAsia" w:ascii="宋体" w:hAnsi="宋体"/>
          <w:color w:val="auto"/>
          <w:szCs w:val="21"/>
          <w:highlight w:val="none"/>
          <w:u w:val="single"/>
        </w:rPr>
        <w:t xml:space="preserve">按管理部门要求和发包人需求确定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8.6.1.1</w:t>
      </w:r>
      <w:r>
        <w:rPr>
          <w:rFonts w:ascii="Times New Roman" w:hAnsi="Times New Roman"/>
          <w:color w:val="auto"/>
          <w:szCs w:val="21"/>
          <w:highlight w:val="none"/>
        </w:rPr>
        <w:t xml:space="preserve">承包人在材料使用前，须向监理报验，并见证抽样送检。未经确认的材料，不得用于工程，发包人抽查发现使用的材料无报验手续或不合格，可指令停工，要求返工。所发生的费用由承包人承担，工期不予顺延。</w:t>
      </w:r>
      <w:r>
        <w:rPr>
          <w:rFonts w:hint="eastAsia" w:ascii="Times New Roman" w:hAnsi="Times New Roman"/>
          <w:color w:val="auto"/>
          <w:szCs w:val="21"/>
          <w:highlight w:val="none"/>
        </w:rPr>
        <w:br w:type="textWrapping" w:clear="all"/>
      </w:r>
      <w:r>
        <w:rPr>
          <w:rFonts w:hint="eastAsia" w:ascii="Times New Roman" w:hAnsi="Times New Roman"/>
          <w:color w:val="auto"/>
          <w:szCs w:val="21"/>
          <w:highlight w:val="none"/>
        </w:rPr>
        <w:tab/>
      </w:r>
      <w:r>
        <w:rPr>
          <w:rFonts w:hint="eastAsia" w:ascii="宋体" w:hAnsi="宋体"/>
          <w:color w:val="auto"/>
          <w:szCs w:val="21"/>
          <w:highlight w:val="none"/>
        </w:rPr>
        <w:t xml:space="preserve">8.6.1.2</w:t>
      </w:r>
      <w:r>
        <w:rPr>
          <w:rFonts w:ascii="Times New Roman" w:hAnsi="Times New Roman"/>
          <w:color w:val="auto"/>
          <w:szCs w:val="21"/>
          <w:highlight w:val="none"/>
        </w:rPr>
        <w:t xml:space="preserve">本工程的所有材料，均由承包人按设计文件及规范要求自行采购和保管，使用前，要有质保书或出厂合格证，并进行有关必要的检验或试验，合格后方可使用。承包人必须在监理人现场见证的情况下取样、封样和送样，样品须送至发包人指定的试验检测机构进行检测，否则不予认可。</w:t>
      </w:r>
      <w:r>
        <w:rPr>
          <w:rFonts w:hint="eastAsia" w:ascii="Times New Roman" w:hAnsi="Times New Roman"/>
          <w:color w:val="auto"/>
          <w:szCs w:val="21"/>
          <w:highlight w:val="none"/>
        </w:rPr>
        <w:t xml:space="preserve">检验或试验费用均由承包人承担</w:t>
      </w:r>
      <w:r>
        <w:rPr>
          <w:rFonts w:ascii="Times New Roman" w:hAnsi="Times New Roman"/>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 施工设备和临时设施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8.8.1 承包人提供的施工设备和临时设施</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关于修建临时设施费用承担的约定：</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Start w:id="439" w:name="_Toc351203641"/>
      <w:r>
        <w:rPr>
          <w:rFonts w:hint="eastAsia" w:ascii="宋体" w:hAnsi="宋体"/>
          <w:color w:val="auto"/>
          <w:szCs w:val="21"/>
          <w:highlight w:val="none"/>
          <w:u w:val="single"/>
        </w:rPr>
        <w:t xml:space="preserve">由承包人承担</w:t>
      </w:r>
      <w:r>
        <w:rPr>
          <w:rFonts w:hint="eastAsia" w:ascii="宋体" w:hAnsi="宋体"/>
          <w:color w:val="auto"/>
          <w:szCs w:val="21"/>
          <w:highlight w:val="none"/>
        </w:rPr>
        <w:t xml:space="preserve">。</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9</w:t>
      </w:r>
      <w:bookmarkEnd w:id="418"/>
      <w:r/>
      <w:bookmarkEnd w:id="419"/>
      <w:r/>
      <w:bookmarkEnd w:id="420"/>
      <w:r/>
      <w:bookmarkStart w:id="440" w:name="_Toc300934982"/>
      <w:r/>
      <w:bookmarkStart w:id="441" w:name="_Toc312678021"/>
      <w:r/>
      <w:bookmarkStart w:id="442" w:name="_Toc297216192"/>
      <w:r/>
      <w:bookmarkStart w:id="443" w:name="_Toc297123533"/>
      <w:r/>
      <w:bookmarkStart w:id="444" w:name="_Toc312677495"/>
      <w:r/>
      <w:bookmarkStart w:id="445" w:name="_Toc304295559"/>
      <w:r/>
      <w:bookmarkStart w:id="446" w:name="_Toc303539139"/>
      <w:r/>
      <w:bookmarkStart w:id="447" w:name="_Toc267251427"/>
      <w:r/>
      <w:bookmarkStart w:id="448" w:name="_Toc296346674"/>
      <w:r/>
      <w:bookmarkStart w:id="449" w:name="_Toc292559883"/>
      <w:r/>
      <w:bookmarkStart w:id="450" w:name="_Toc267251428"/>
      <w:r/>
      <w:bookmarkStart w:id="451" w:name="_Toc296944512"/>
      <w:r/>
      <w:bookmarkStart w:id="452" w:name="_Toc297048359"/>
      <w:r/>
      <w:bookmarkStart w:id="453" w:name="_Toc296891001"/>
      <w:r/>
      <w:bookmarkStart w:id="454" w:name="_Toc296347172"/>
      <w:r/>
      <w:bookmarkStart w:id="455" w:name="_Toc296503173"/>
      <w:r/>
      <w:bookmarkStart w:id="456" w:name="_Toc296891213"/>
      <w:r/>
      <w:bookmarkStart w:id="457" w:name="_Toc292559378"/>
      <w:r/>
      <w:bookmarkStart w:id="458" w:name="_Toc297120473"/>
      <w:r>
        <w:rPr>
          <w:rFonts w:hint="eastAsia" w:ascii="宋体" w:hAnsi="宋体"/>
          <w:b/>
          <w:color w:val="auto"/>
          <w:szCs w:val="21"/>
          <w:highlight w:val="none"/>
        </w:rPr>
        <w:t xml:space="preserve">. 试验与检验</w:t>
      </w:r>
      <w:bookmarkEnd w:id="439"/>
      <w:r/>
      <w:bookmarkEnd w:id="440"/>
      <w:r/>
      <w:bookmarkEnd w:id="441"/>
      <w:r/>
      <w:bookmarkEnd w:id="442"/>
      <w:r/>
      <w:bookmarkEnd w:id="443"/>
      <w:r/>
      <w:bookmarkEnd w:id="444"/>
      <w:r/>
      <w:bookmarkEnd w:id="445"/>
      <w:r/>
      <w:bookmarkEnd w:id="44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bookmarkStart w:id="459" w:name="_Toc312677496"/>
      <w:r/>
      <w:bookmarkStart w:id="460" w:name="_Toc297216193"/>
      <w:r/>
      <w:bookmarkStart w:id="461" w:name="_Toc300934983"/>
      <w:r/>
      <w:bookmarkStart w:id="462" w:name="_Toc304295560"/>
      <w:r/>
      <w:bookmarkStart w:id="463" w:name="_Toc297123534"/>
      <w:r/>
      <w:bookmarkStart w:id="464" w:name="_Toc312678022"/>
      <w:r/>
      <w:bookmarkStart w:id="465" w:name="_Toc303539140"/>
      <w:r>
        <w:rPr>
          <w:rFonts w:hint="eastAsia" w:ascii="宋体" w:hAnsi="宋体"/>
          <w:color w:val="auto"/>
          <w:szCs w:val="21"/>
          <w:highlight w:val="none"/>
        </w:rPr>
        <w:t xml:space="preserve">.1试验设备与试验人员</w:t>
      </w:r>
      <w:bookmarkEnd w:id="459"/>
      <w:r/>
      <w:bookmarkEnd w:id="460"/>
      <w:r/>
      <w:bookmarkEnd w:id="461"/>
      <w:r/>
      <w:bookmarkEnd w:id="462"/>
      <w:r/>
      <w:bookmarkEnd w:id="463"/>
      <w:r/>
      <w:bookmarkEnd w:id="464"/>
      <w:r/>
      <w:bookmarkEnd w:id="465"/>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9</w:t>
      </w:r>
      <w:bookmarkStart w:id="466" w:name="_Toc312677497"/>
      <w:r/>
      <w:bookmarkStart w:id="467" w:name="_Toc303539141"/>
      <w:r/>
      <w:bookmarkStart w:id="468" w:name="_Toc297123535"/>
      <w:r/>
      <w:bookmarkStart w:id="469" w:name="_Toc297216194"/>
      <w:r/>
      <w:bookmarkStart w:id="470" w:name="_Toc312678023"/>
      <w:r/>
      <w:bookmarkStart w:id="471" w:name="_Toc304295561"/>
      <w:r/>
      <w:bookmarkStart w:id="472" w:name="_Toc300934984"/>
      <w:r/>
      <w:bookmarkStart w:id="473" w:name="_Toc318581174"/>
      <w:r>
        <w:rPr>
          <w:rFonts w:hint="eastAsia" w:ascii="宋体" w:hAnsi="宋体"/>
          <w:color w:val="auto"/>
          <w:szCs w:val="21"/>
          <w:highlight w:val="none"/>
        </w:rPr>
        <w:t xml:space="preserve">.1.2 试验设备</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施工现场需要配置的试验场所：</w:t>
      </w:r>
      <w:bookmarkEnd w:id="466"/>
      <w:r/>
      <w:bookmarkEnd w:id="467"/>
      <w:r/>
      <w:bookmarkEnd w:id="468"/>
      <w:r/>
      <w:bookmarkEnd w:id="469"/>
      <w:r/>
      <w:bookmarkEnd w:id="470"/>
      <w:r/>
      <w:bookmarkEnd w:id="471"/>
      <w:r/>
      <w:bookmarkEnd w:id="472"/>
      <w:r/>
      <w:bookmarkStart w:id="474" w:name="_Toc300934985"/>
      <w:r/>
      <w:bookmarkStart w:id="475" w:name="_Toc304295562"/>
      <w:r/>
      <w:bookmarkStart w:id="476" w:name="_Toc312677498"/>
      <w:r/>
      <w:bookmarkStart w:id="477" w:name="_Toc297216195"/>
      <w:r/>
      <w:bookmarkStart w:id="478" w:name="_Toc303539142"/>
      <w:r/>
      <w:bookmarkStart w:id="479" w:name="_Toc312678024"/>
      <w:r/>
      <w:bookmarkStart w:id="480" w:name="_Toc297123536"/>
      <w:r>
        <w:rPr>
          <w:rFonts w:hint="eastAsia" w:ascii="宋体" w:hAnsi="宋体"/>
          <w:color w:val="auto"/>
          <w:szCs w:val="21"/>
          <w:highlight w:val="none"/>
          <w:u w:val="single"/>
        </w:rPr>
        <w:t xml:space="preserve"> 按有关规定执行</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施工现场需要配备的试验设备：</w:t>
      </w:r>
      <w:r>
        <w:rPr>
          <w:rFonts w:hint="eastAsia" w:ascii="宋体" w:hAnsi="宋体"/>
          <w:color w:val="auto"/>
          <w:szCs w:val="21"/>
          <w:highlight w:val="none"/>
          <w:u w:val="single"/>
        </w:rPr>
        <w:t xml:space="preserve"> 按有关规定执行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施工现场需要具备的其他试验条件：</w:t>
      </w:r>
      <w:r>
        <w:rPr>
          <w:rFonts w:hint="eastAsia" w:ascii="宋体" w:hAnsi="宋体"/>
          <w:color w:val="auto"/>
          <w:szCs w:val="21"/>
          <w:highlight w:val="none"/>
          <w:u w:val="single"/>
        </w:rPr>
        <w:t xml:space="preserve">  按有关规定执行</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481" w:name="_Toc31322"/>
      <w:r/>
      <w:bookmarkStart w:id="482" w:name="_Toc19315"/>
      <w:r>
        <w:rPr>
          <w:rFonts w:hint="eastAsia" w:ascii="宋体" w:hAnsi="宋体"/>
          <w:color w:val="auto"/>
          <w:szCs w:val="21"/>
          <w:highlight w:val="none"/>
        </w:rPr>
        <w:t xml:space="preserve">9.4 现场工艺试验</w:t>
      </w:r>
      <w:bookmarkEnd w:id="481"/>
      <w:r/>
      <w:bookmarkEnd w:id="482"/>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现场工艺试验的有关约定：</w:t>
      </w:r>
      <w:r>
        <w:rPr>
          <w:rFonts w:hint="eastAsia" w:ascii="宋体" w:hAnsi="宋体"/>
          <w:color w:val="auto"/>
          <w:szCs w:val="21"/>
          <w:highlight w:val="none"/>
          <w:u w:val="single"/>
        </w:rPr>
        <w:t xml:space="preserve">按有关规定执行</w:t>
      </w:r>
      <w:r>
        <w:rPr>
          <w:rFonts w:hint="eastAsia" w:ascii="宋体" w:hAnsi="宋体"/>
          <w:color w:val="auto"/>
          <w:szCs w:val="21"/>
          <w:highlight w:val="none"/>
        </w:rPr>
        <w:t xml:space="preserve">。</w:t>
      </w:r>
      <w:bookmarkEnd w:id="473"/>
      <w:r/>
      <w:bookmarkEnd w:id="474"/>
      <w:r/>
      <w:bookmarkEnd w:id="475"/>
      <w:r/>
      <w:bookmarkEnd w:id="476"/>
      <w:r/>
      <w:bookmarkEnd w:id="477"/>
      <w:r/>
      <w:bookmarkEnd w:id="478"/>
      <w:r/>
      <w:bookmarkEnd w:id="479"/>
      <w:r/>
      <w:bookmarkEnd w:id="480"/>
      <w:r/>
      <w:r/>
    </w:p>
    <w:p>
      <w:pPr>
        <w:keepLines/>
        <w:keepNext/>
        <w:spacing w:before="280" w:after="290" w:line="400" w:lineRule="exact"/>
        <w:rPr>
          <w:rFonts w:hint="eastAsia" w:ascii="宋体" w:hAnsi="宋体" w:eastAsia="黑体"/>
          <w:b/>
          <w:bCs/>
          <w:color w:val="auto"/>
          <w:sz w:val="28"/>
          <w:highlight w:val="none"/>
        </w:rPr>
        <w:outlineLvl w:val="3"/>
      </w:pPr>
      <w:r/>
      <w:bookmarkStart w:id="483" w:name="_Toc351203642"/>
      <w:r>
        <w:rPr>
          <w:rFonts w:hint="eastAsia" w:ascii="宋体" w:hAnsi="宋体" w:eastAsia="黑体"/>
          <w:b/>
          <w:bCs/>
          <w:color w:val="auto"/>
          <w:sz w:val="28"/>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Start w:id="484" w:name="_Toc296347192"/>
      <w:r/>
      <w:bookmarkStart w:id="485" w:name="_Toc303539146"/>
      <w:r/>
      <w:bookmarkStart w:id="486" w:name="_Toc296503193"/>
      <w:r/>
      <w:bookmarkStart w:id="487" w:name="_Toc292559903"/>
      <w:r/>
      <w:bookmarkStart w:id="488" w:name="_Toc296944532"/>
      <w:r/>
      <w:bookmarkStart w:id="489" w:name="_Toc296891233"/>
      <w:r/>
      <w:bookmarkStart w:id="490" w:name="_Toc297216199"/>
      <w:r/>
      <w:bookmarkStart w:id="491" w:name="_Toc304295566"/>
      <w:r/>
      <w:bookmarkStart w:id="492" w:name="_Toc292559398"/>
      <w:r/>
      <w:bookmarkStart w:id="493" w:name="_Toc296891021"/>
      <w:r/>
      <w:bookmarkStart w:id="494" w:name="_Toc300934989"/>
      <w:r/>
      <w:bookmarkStart w:id="495" w:name="_Toc296346694"/>
      <w:r/>
      <w:bookmarkStart w:id="496" w:name="_Toc297123540"/>
      <w:r/>
      <w:bookmarkStart w:id="497" w:name="_Toc297048379"/>
      <w:r/>
      <w:bookmarkStart w:id="498" w:name="_Toc297120493"/>
      <w:r/>
      <w:bookmarkStart w:id="499" w:name="_Toc312677499"/>
      <w:r/>
      <w:bookmarkStart w:id="500" w:name="_Toc312678025"/>
      <w:r/>
      <w:bookmarkStart w:id="501" w:name="_Toc267251440"/>
      <w:r/>
      <w:bookmarkStart w:id="502" w:name="_Toc267251439"/>
      <w:r/>
      <w:bookmarkStart w:id="503" w:name="_Toc267251433"/>
      <w:r/>
      <w:bookmarkStart w:id="504" w:name="_Toc267251441"/>
      <w:r/>
      <w:bookmarkStart w:id="505" w:name="_Toc267251437"/>
      <w:r/>
      <w:bookmarkStart w:id="506" w:name="_Toc267251435"/>
      <w:r>
        <w:rPr>
          <w:rFonts w:hint="eastAsia" w:ascii="宋体" w:hAnsi="宋体" w:eastAsia="黑体"/>
          <w:b/>
          <w:bCs/>
          <w:color w:val="auto"/>
          <w:sz w:val="28"/>
          <w:highlight w:val="none"/>
        </w:rPr>
        <w:t xml:space="preserve">0. 变更</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w:t>
      </w:r>
      <w:bookmarkStart w:id="507" w:name="_Toc312677500"/>
      <w:r/>
      <w:bookmarkStart w:id="508" w:name="_Toc292559904"/>
      <w:r/>
      <w:bookmarkStart w:id="509" w:name="_Toc303539147"/>
      <w:r/>
      <w:bookmarkStart w:id="510" w:name="_Toc296891234"/>
      <w:r/>
      <w:bookmarkStart w:id="511" w:name="_Toc304295567"/>
      <w:r/>
      <w:bookmarkStart w:id="512" w:name="_Toc297120494"/>
      <w:r/>
      <w:bookmarkStart w:id="513" w:name="_Toc296944533"/>
      <w:r/>
      <w:bookmarkStart w:id="514" w:name="_Toc296347193"/>
      <w:r/>
      <w:bookmarkStart w:id="515" w:name="_Toc297048380"/>
      <w:r/>
      <w:bookmarkStart w:id="516" w:name="_Toc297216200"/>
      <w:r/>
      <w:bookmarkStart w:id="517" w:name="_Toc292559399"/>
      <w:r/>
      <w:bookmarkStart w:id="518" w:name="_Toc300934990"/>
      <w:r/>
      <w:bookmarkStart w:id="519" w:name="_Toc297123541"/>
      <w:r/>
      <w:bookmarkStart w:id="520" w:name="_Toc312678026"/>
      <w:r/>
      <w:bookmarkStart w:id="521" w:name="_Toc296346695"/>
      <w:r/>
      <w:bookmarkStart w:id="522" w:name="_Toc296891022"/>
      <w:r/>
      <w:bookmarkStart w:id="523" w:name="_Toc296503194"/>
      <w:r>
        <w:rPr>
          <w:rFonts w:hint="eastAsia" w:ascii="宋体" w:hAnsi="宋体"/>
          <w:b/>
          <w:color w:val="auto"/>
          <w:szCs w:val="21"/>
          <w:highlight w:val="none"/>
        </w:rPr>
        <w:t xml:space="preserve">0.1变更的范围</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关于变更的范围的约定：</w:t>
      </w:r>
      <w:r>
        <w:rPr>
          <w:rFonts w:hint="eastAsia" w:ascii="宋体" w:hAnsi="宋体"/>
          <w:color w:val="auto"/>
          <w:szCs w:val="21"/>
          <w:highlight w:val="none"/>
          <w:u w:val="single"/>
        </w:rPr>
        <w:t xml:space="preserve">（1）方案优化减少造价、工程设计变更（2）不可预见性变更（3）工程量清单特征不符、清单缺项、工程量偏差（4）涉及工程造价、质量标准等政策调整的变更（5）其他实质性变更。</w:t>
      </w:r>
      <w:r/>
    </w:p>
    <w:p>
      <w:pPr>
        <w:ind w:firstLine="420"/>
        <w:spacing w:line="40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关于变更范围的约定：</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承包人在签订合同后15天内，须完成图纸工程量与清单工程量的核对工作，并完成提交漏项清单的报审工作，施工前需经发包人核准漏项清单，否则不予增加造价。</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（2）</w:t>
      </w:r>
      <w:r>
        <w:rPr>
          <w:rFonts w:hint="eastAsia" w:ascii="宋体" w:hAnsi="宋体" w:cs="宋体"/>
          <w:color w:val="auto"/>
          <w:szCs w:val="21"/>
          <w:highlight w:val="none"/>
          <w:u w:val="single"/>
        </w:rPr>
        <w:t xml:space="preserve">承包人不得随意更改设计，因承包人自身原因导致的工程变更，承包人无权要求追加合同价款。设计变更、签证资</w:t>
      </w:r>
      <w:r>
        <w:rPr>
          <w:rFonts w:hint="eastAsia" w:ascii="宋体" w:hAnsi="宋体" w:cs="宋体"/>
          <w:color w:val="auto"/>
          <w:szCs w:val="21"/>
          <w:highlight w:val="none"/>
          <w:u w:val="single"/>
        </w:rPr>
        <w:t xml:space="preserve">料必须及时经发包人、总监理工程师批准确认，隐蔽性工程的变更、签证要在当日内办理完，其他变更、签证要在确定变更或发生签证事项后14天内经监理工程师确认后向发包人提出变更工程价款的书面报告，逾期提出的发包人不予受理，视为该项变更或事项不涉及合同价款的调整，也视为承包人放弃要求调整的权利。承包人报送的变更、签证费用计算书必须按照每份变更、签证通知单编制，发包方不接受承包人以汇总方式编制的多项变更、签证事项的计算书。施工中发包人有权根据实际情况增减部分工程量，承包人就此不得提出索赔。隐蔽工程的变更必须留有影像资料。</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3</w:t>
      </w:r>
      <w:r>
        <w:rPr>
          <w:rFonts w:hint="eastAsia" w:ascii="宋体" w:hAnsi="宋体" w:cs="宋体"/>
          <w:color w:val="auto"/>
          <w:szCs w:val="21"/>
          <w:highlight w:val="none"/>
          <w:u w:val="single"/>
        </w:rPr>
        <w:t xml:space="preserve">）清单中工程量与实际发生偏差可以调整，调整时承包人必须在施工前向发包人提出工程量偏差通知并经发包人核准，否则工程量不得调整。</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4</w:t>
      </w:r>
      <w:r>
        <w:rPr>
          <w:rFonts w:hint="eastAsia" w:ascii="宋体" w:hAnsi="宋体" w:cs="宋体"/>
          <w:color w:val="auto"/>
          <w:szCs w:val="21"/>
          <w:highlight w:val="none"/>
          <w:u w:val="single"/>
        </w:rPr>
        <w:t xml:space="preserve">）招标人要求变更的，设计变更的，工程量清单漏项等，每单个变更内容总价在10000元（含10000元）以内，不作调整，超过10000元的按10.2.1条确定的变更估价原则进行调整。</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rPr>
        <w:t xml:space="preserve">）工程量清单项目特征与图纸明显不一致时，按清单工程量标底价扣除，工程量价格按实调整后同比例下浮。</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6</w:t>
      </w:r>
      <w:r>
        <w:rPr>
          <w:rFonts w:hint="eastAsia" w:ascii="宋体" w:hAnsi="宋体" w:cs="宋体"/>
          <w:color w:val="auto"/>
          <w:szCs w:val="21"/>
          <w:highlight w:val="none"/>
          <w:u w:val="single"/>
        </w:rPr>
        <w:t xml:space="preserve">）在施工过程中如有删除不做的项目（分部分项工程），结算时按照标底价同比例下浮后扣除。</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10.2变更估价</w:t>
      </w:r>
      <w:r/>
    </w:p>
    <w:p>
      <w:pPr>
        <w:ind w:firstLine="420"/>
        <w:spacing w:line="40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10.2.1 变更估价原则</w:t>
      </w:r>
      <w:r/>
    </w:p>
    <w:p>
      <w:pPr>
        <w:ind w:firstLine="420"/>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rPr>
        <w:t xml:space="preserve">关于变更估价的约定：</w:t>
      </w:r>
      <w:r>
        <w:rPr>
          <w:rFonts w:hint="eastAsia" w:ascii="宋体" w:hAnsi="宋体" w:cs="宋体"/>
          <w:color w:val="auto"/>
          <w:szCs w:val="21"/>
          <w:highlight w:val="none"/>
          <w:u w:val="single"/>
        </w:rPr>
        <w:t xml:space="preserve">因非承包人原因引起工程量发生变化或工程变更引起已标价工程量清单项目或其工程数量发生变化，应按照下列规定调整：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（1）已标价工程量清单中有适用于变更工程项目的，采用该项目的单价调整。但当工程变更</w:t>
      </w:r>
      <w:r>
        <w:rPr>
          <w:rFonts w:hint="eastAsia" w:ascii="宋体" w:hAnsi="宋体" w:cs="宋体"/>
          <w:color w:val="auto"/>
          <w:szCs w:val="21"/>
          <w:highlight w:val="none"/>
          <w:u w:val="single"/>
        </w:rPr>
        <w:t xml:space="preserve">导致该清单项目的工程数量发生变化，为了防止不平衡报价，工程量偏差小于或等于15%的，按投标单价执行。工程量增加超过15%时，投标单价大于标底价*承包人报价浮动率的，增加超过部分的工程量的综合单价按标底价*承包人报价浮动率；投标单价小于标底价*承包人报价浮动率的，增加超过部分的工程量的综合单价按投标单价执行；当工程量减少超过15%时，投标单价大于标底价*承包人报价浮动率的，减少超过的工程量的综合单价按投标价执行；投标单价小于标底价*承包人报价浮动率的，减少超过的工程量的综合单价按标底价执行*承包人报价浮动率。</w:t>
      </w:r>
      <w:r/>
    </w:p>
    <w:p>
      <w:pPr>
        <w:ind w:firstLine="420"/>
        <w:jc w:val="left"/>
        <w:spacing w:line="400" w:lineRule="atLeast"/>
        <w:rPr>
          <w:color w:val="auto"/>
          <w:highlight w:val="none"/>
        </w:rPr>
      </w:pPr>
      <w:r>
        <w:rPr>
          <w:rFonts w:hint="eastAsia" w:ascii="宋体" w:hAnsi="宋体" w:cs="宋体"/>
          <w:color w:val="auto"/>
          <w:szCs w:val="21"/>
          <w:highlight w:val="none"/>
          <w:u w:val="single"/>
        </w:rPr>
        <w:t xml:space="preserve">注：承包人报价浮动率=（1－中标价/审定标底价即未按控制价调整系数调整前的价格）*100%，下浮率的计算均需扣除暂列金额、暂估价、安全文明施工措施费、规费及税金。</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（2）已标价工程量清单中没有适用但有类似于变更工程项目的，可参照类似清单项目的综合单价进行调整。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3）已标价工程量清单中没有适用也没有类似于清单项目的，其相应新增综合单价由承包人按招标控制价编制的原则提出，并原则上依据承包人报价浮动率下浮，经监理工程师审核，报发包人认可后作为结算的依据。</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（4）由于承包人遗漏招标文件指定的工程量，实施时，如果该工程量减少，按新增综合单价原则进行调减；如果该工程量增加，则按零单价结算。</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（5）因非承包人原因的工程变更，造成施工组织设计或施工方案变更，引起措施项目发生变化时，措施项目费应按下列原则调整：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总价措施项目的措施费仍按承包人投标时的费率进行调整；总价项目中以费用报价的，按投标时口径折算成费率调整；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单价措施项目的措施费发生关联变化时，按 2014 年江苏省计价表规定组价的措施项目按原组价方法调整，未按 2014 年江苏省计价表规定组价的措施项目按投标人投标时价格折算成费率调整；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原措施费中没有的措施项目，由承包人根据措施项目变更情况，提出适当的措施费变更要求，经发包人确认后调整。</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工程变更引起施工方案改变并使措施项目发生变化时，承包人提出调整措施项目费的，应事先将拟实施的方案提交发包人确认，并应详细说明与原方案措施项目相比的变化情况。拟实施的方案经发承包双方、代建单位确认后执行。</w:t>
      </w:r>
      <w:r/>
    </w:p>
    <w:p>
      <w:pPr>
        <w:ind w:firstLine="422"/>
        <w:jc w:val="left"/>
        <w:spacing w:line="400" w:lineRule="atLeast"/>
        <w:rPr>
          <w:rFonts w:hint="eastAsia" w:ascii="宋体" w:hAnsi="宋体" w:cs="宋体"/>
          <w:color w:val="auto"/>
          <w:szCs w:val="21"/>
          <w:highlight w:val="none"/>
          <w:u w:val="single"/>
        </w:rPr>
      </w:pPr>
      <w:r>
        <w:rPr>
          <w:rFonts w:hint="eastAsia" w:ascii="宋体" w:hAnsi="宋体" w:cs="宋体"/>
          <w:b/>
          <w:bCs/>
          <w:color w:val="auto"/>
          <w:szCs w:val="21"/>
          <w:highlight w:val="none"/>
          <w:u w:val="single"/>
        </w:rPr>
        <w:t xml:space="preserve">如果承包人未事先将拟实施的方案提交给发包人确认，则应视为工程变更不引起措施项目费的调整或承包人放弃调整措施项目费的权利</w:t>
      </w:r>
      <w:r>
        <w:rPr>
          <w:rFonts w:hint="eastAsia" w:ascii="宋体" w:hAnsi="宋体" w:cs="宋体"/>
          <w:color w:val="auto"/>
          <w:szCs w:val="21"/>
          <w:highlight w:val="none"/>
          <w:u w:val="single"/>
        </w:rPr>
        <w:t xml:space="preserve">。</w:t>
      </w:r>
      <w:r/>
    </w:p>
    <w:p>
      <w:pPr>
        <w:ind w:firstLine="422"/>
        <w:jc w:val="left"/>
        <w:spacing w:line="400" w:lineRule="atLeast"/>
        <w:rPr>
          <w:rFonts w:hint="eastAsia" w:ascii="宋体" w:hAnsi="宋体" w:cs="宋体"/>
          <w:color w:val="auto"/>
          <w:szCs w:val="21"/>
          <w:highlight w:val="none"/>
          <w:u w:val="single"/>
        </w:rPr>
      </w:pPr>
      <w:r>
        <w:rPr>
          <w:rFonts w:hint="eastAsia" w:ascii="宋体" w:hAnsi="宋体" w:cs="宋体"/>
          <w:b/>
          <w:bCs/>
          <w:color w:val="auto"/>
          <w:szCs w:val="21"/>
          <w:highlight w:val="none"/>
          <w:u w:val="single"/>
        </w:rPr>
        <w:t xml:space="preserve">结算时，除上述原因引起施工方案改变外，承包人不得以招标工程措施项目清单缺项为由要求新增措施项目</w:t>
      </w:r>
      <w:r>
        <w:rPr>
          <w:rFonts w:hint="eastAsia" w:ascii="宋体" w:hAnsi="宋体" w:cs="宋体"/>
          <w:color w:val="auto"/>
          <w:szCs w:val="21"/>
          <w:highlight w:val="none"/>
          <w:u w:val="single"/>
        </w:rPr>
        <w:t xml:space="preserve">。</w:t>
      </w:r>
      <w:r/>
    </w:p>
    <w:p>
      <w:pPr>
        <w:ind w:firstLine="420"/>
        <w:jc w:val="left"/>
        <w:spacing w:line="400" w:lineRule="atLeast"/>
        <w:rPr>
          <w:rFonts w:hint="eastAsia" w:ascii="宋体" w:hAnsi="宋体" w:cs="宋体"/>
          <w:color w:val="auto"/>
          <w:szCs w:val="21"/>
          <w:highlight w:val="none"/>
          <w:u w:val="single"/>
        </w:rPr>
      </w:pPr>
      <w:r>
        <w:rPr>
          <w:rFonts w:hint="eastAsia" w:ascii="宋体" w:hAnsi="宋体" w:cs="宋体"/>
          <w:color w:val="auto"/>
          <w:szCs w:val="21"/>
          <w:highlight w:val="none"/>
          <w:u w:val="single"/>
        </w:rPr>
        <w:t xml:space="preserve">（6）</w:t>
      </w:r>
      <w:r>
        <w:rPr>
          <w:rFonts w:hint="eastAsia" w:ascii="宋体" w:hAnsi="宋体" w:cs="宋体"/>
          <w:b/>
          <w:bCs/>
          <w:color w:val="auto"/>
          <w:szCs w:val="21"/>
          <w:highlight w:val="none"/>
          <w:u w:val="single"/>
        </w:rPr>
        <w:t xml:space="preserve">每项工程变更增加价款</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u w:val="single"/>
        </w:rPr>
        <w:t xml:space="preserve">000元以内（含</w:t>
      </w:r>
      <w:r>
        <w:rPr>
          <w:rFonts w:hint="eastAsia" w:ascii="宋体" w:hAnsi="宋体" w:cs="宋体"/>
          <w:b/>
          <w:bCs/>
          <w:color w:val="auto"/>
          <w:szCs w:val="21"/>
          <w:highlight w:val="none"/>
          <w:u w:val="single"/>
          <w:lang w:val="en-US" w:eastAsia="zh-CN"/>
        </w:rPr>
        <w:t xml:space="preserve">10</w:t>
      </w:r>
      <w:r>
        <w:rPr>
          <w:rFonts w:hint="eastAsia" w:ascii="宋体" w:hAnsi="宋体" w:cs="宋体"/>
          <w:b/>
          <w:bCs/>
          <w:color w:val="auto"/>
          <w:szCs w:val="21"/>
          <w:highlight w:val="none"/>
          <w:u w:val="single"/>
        </w:rPr>
        <w:t xml:space="preserve">000元）不予调整，减少价款按合同约定条款执行</w:t>
      </w:r>
      <w:r>
        <w:rPr>
          <w:rFonts w:hint="eastAsia" w:ascii="宋体" w:hAnsi="宋体" w:cs="宋体"/>
          <w:color w:val="auto"/>
          <w:szCs w:val="21"/>
          <w:highlight w:val="none"/>
          <w:u w:val="single"/>
        </w:rPr>
        <w:t xml:space="preserve">。</w:t>
      </w:r>
      <w:r/>
    </w:p>
    <w:p>
      <w:pPr>
        <w:ind w:firstLine="422"/>
        <w:jc w:val="left"/>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Start w:id="524" w:name="_Toc297123544"/>
      <w:r/>
      <w:bookmarkStart w:id="525" w:name="_Toc292559907"/>
      <w:r/>
      <w:bookmarkStart w:id="526" w:name="_Toc303539150"/>
      <w:r/>
      <w:bookmarkStart w:id="527" w:name="_Toc296891025"/>
      <w:r/>
      <w:bookmarkStart w:id="528" w:name="_Toc297048383"/>
      <w:r/>
      <w:bookmarkStart w:id="529" w:name="_Toc297120497"/>
      <w:r/>
      <w:bookmarkStart w:id="530" w:name="_Toc296346698"/>
      <w:r/>
      <w:bookmarkStart w:id="531" w:name="_Toc292559402"/>
      <w:r/>
      <w:bookmarkStart w:id="532" w:name="_Toc296891237"/>
      <w:r/>
      <w:bookmarkStart w:id="533" w:name="_Toc300934993"/>
      <w:r/>
      <w:bookmarkStart w:id="534" w:name="_Toc296944536"/>
      <w:r/>
      <w:bookmarkStart w:id="535" w:name="_Toc296347196"/>
      <w:r/>
      <w:bookmarkStart w:id="536" w:name="_Toc296503197"/>
      <w:r/>
      <w:bookmarkStart w:id="537" w:name="_Toc297216203"/>
      <w:r/>
      <w:bookmarkStart w:id="538" w:name="_Toc312677503"/>
      <w:r/>
      <w:bookmarkStart w:id="539" w:name="_Toc304295570"/>
      <w:r/>
      <w:bookmarkStart w:id="540" w:name="_Toc312678029"/>
      <w:r>
        <w:rPr>
          <w:rFonts w:hint="eastAsia" w:ascii="宋体" w:hAnsi="宋体"/>
          <w:b/>
          <w:color w:val="auto"/>
          <w:szCs w:val="21"/>
          <w:highlight w:val="none"/>
        </w:rPr>
        <w:t xml:space="preserve">0.5承</w:t>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Start w:id="541" w:name="_Toc297216204"/>
      <w:r/>
      <w:bookmarkStart w:id="542" w:name="_Toc296891243"/>
      <w:r/>
      <w:bookmarkStart w:id="543" w:name="_Toc300934994"/>
      <w:r/>
      <w:bookmarkStart w:id="544" w:name="_Toc296346704"/>
      <w:r/>
      <w:bookmarkStart w:id="545" w:name="_Toc296347202"/>
      <w:r/>
      <w:bookmarkStart w:id="546" w:name="_Toc296891031"/>
      <w:r/>
      <w:bookmarkStart w:id="547" w:name="_Toc297123545"/>
      <w:r/>
      <w:bookmarkStart w:id="548" w:name="_Toc303539151"/>
      <w:r/>
      <w:bookmarkStart w:id="549" w:name="_Toc296944542"/>
      <w:r/>
      <w:bookmarkStart w:id="550" w:name="_Toc296503203"/>
      <w:r/>
      <w:bookmarkStart w:id="551" w:name="_Toc292559408"/>
      <w:r/>
      <w:bookmarkStart w:id="552" w:name="_Toc292559913"/>
      <w:r/>
      <w:bookmarkStart w:id="553" w:name="_Toc297120503"/>
      <w:r/>
      <w:bookmarkStart w:id="554" w:name="_Toc297048389"/>
      <w:r>
        <w:rPr>
          <w:rFonts w:hint="eastAsia" w:ascii="宋体" w:hAnsi="宋体"/>
          <w:b/>
          <w:color w:val="auto"/>
          <w:szCs w:val="21"/>
          <w:highlight w:val="none"/>
        </w:rPr>
        <w:t xml:space="preserve">包人的合理化建议</w:t>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监理人审查承包人合理化建议的期限：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发包人审批承包人合理化建议的期限：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承</w:t>
      </w:r>
      <w:bookmarkStart w:id="555" w:name="_Toc297123546"/>
      <w:r/>
      <w:bookmarkStart w:id="556" w:name="_Toc297216205"/>
      <w:r/>
      <w:bookmarkStart w:id="557" w:name="_Toc296891244"/>
      <w:r/>
      <w:bookmarkStart w:id="558" w:name="_Toc292559409"/>
      <w:r/>
      <w:bookmarkStart w:id="559" w:name="_Toc300934995"/>
      <w:r/>
      <w:bookmarkStart w:id="560" w:name="_Toc296944543"/>
      <w:r/>
      <w:bookmarkStart w:id="561" w:name="_Toc297048390"/>
      <w:r/>
      <w:bookmarkStart w:id="562" w:name="_Toc296891032"/>
      <w:r/>
      <w:bookmarkStart w:id="563" w:name="_Toc303539152"/>
      <w:r/>
      <w:bookmarkStart w:id="564" w:name="_Toc292559914"/>
      <w:r/>
      <w:bookmarkStart w:id="565" w:name="_Toc297120504"/>
      <w:r/>
      <w:bookmarkStart w:id="566" w:name="_Toc304295571"/>
      <w:r/>
      <w:bookmarkStart w:id="567" w:name="_Toc296503204"/>
      <w:r/>
      <w:bookmarkStart w:id="568" w:name="_Toc296347203"/>
      <w:r/>
      <w:bookmarkStart w:id="569" w:name="_Toc296346705"/>
      <w:r/>
      <w:bookmarkStart w:id="570" w:name="_Toc318581175"/>
      <w:r/>
      <w:bookmarkStart w:id="571" w:name="_Toc312678030"/>
      <w:r/>
      <w:bookmarkStart w:id="572" w:name="_Toc312677504"/>
      <w:r>
        <w:rPr>
          <w:rFonts w:hint="eastAsia" w:ascii="宋体" w:hAnsi="宋体"/>
          <w:color w:val="auto"/>
          <w:szCs w:val="21"/>
          <w:highlight w:val="none"/>
        </w:rPr>
        <w:t xml:space="preserve">包人提出的合理化建议降低了合同价格或者提高了工程经济效益的奖励的方法和金额为：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ind w:firstLine="422"/>
        <w:spacing w:line="400" w:lineRule="exact"/>
        <w:rPr>
          <w:rFonts w:hint="eastAsia" w:ascii="宋体" w:hAnsi="宋体"/>
          <w:b/>
          <w:color w:val="auto"/>
          <w:szCs w:val="21"/>
          <w:highlight w:val="none"/>
        </w:rPr>
        <w:outlineLvl w:val="0"/>
      </w:pPr>
      <w:r/>
      <w:bookmarkStart w:id="573" w:name="_Toc26909"/>
      <w:r/>
      <w:bookmarkStart w:id="574" w:name="_Toc12946"/>
      <w:r>
        <w:rPr>
          <w:rFonts w:hint="eastAsia" w:ascii="宋体" w:hAnsi="宋体"/>
          <w:b/>
          <w:color w:val="auto"/>
          <w:szCs w:val="21"/>
          <w:highlight w:val="none"/>
        </w:rPr>
        <w:t xml:space="preserve">1</w:t>
      </w:r>
      <w:bookmarkStart w:id="575" w:name="_Toc312677507"/>
      <w:r/>
      <w:bookmarkStart w:id="576" w:name="_Toc303539154"/>
      <w:r/>
      <w:bookmarkStart w:id="577" w:name="_Toc297123548"/>
      <w:r/>
      <w:bookmarkStart w:id="578" w:name="_Toc297048385"/>
      <w:r/>
      <w:bookmarkStart w:id="579" w:name="_Toc296944538"/>
      <w:r/>
      <w:bookmarkStart w:id="580" w:name="_Toc296347198"/>
      <w:r/>
      <w:bookmarkStart w:id="581" w:name="_Toc296503199"/>
      <w:r/>
      <w:bookmarkStart w:id="582" w:name="_Toc296891027"/>
      <w:r/>
      <w:bookmarkStart w:id="583" w:name="_Toc312678033"/>
      <w:r/>
      <w:bookmarkStart w:id="584" w:name="_Toc300934997"/>
      <w:r/>
      <w:bookmarkStart w:id="585" w:name="_Toc297216207"/>
      <w:r/>
      <w:bookmarkStart w:id="586" w:name="_Toc292559909"/>
      <w:r/>
      <w:bookmarkStart w:id="587" w:name="_Toc297120499"/>
      <w:r/>
      <w:bookmarkStart w:id="588" w:name="_Toc296891239"/>
      <w:r/>
      <w:bookmarkStart w:id="589" w:name="_Toc296346700"/>
      <w:r/>
      <w:bookmarkStart w:id="590" w:name="_Toc304295574"/>
      <w:r/>
      <w:bookmarkStart w:id="591" w:name="_Toc292559404"/>
      <w:r>
        <w:rPr>
          <w:rFonts w:hint="eastAsia" w:ascii="宋体" w:hAnsi="宋体"/>
          <w:b/>
          <w:color w:val="auto"/>
          <w:szCs w:val="21"/>
          <w:highlight w:val="none"/>
        </w:rPr>
        <w:t xml:space="preserve">0.7 暂估价</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暂</w:t>
      </w:r>
      <w:bookmarkStart w:id="592" w:name="_Toc312678034"/>
      <w:r/>
      <w:bookmarkStart w:id="593" w:name="_Toc312677508"/>
      <w:r/>
      <w:bookmarkStart w:id="594" w:name="_Toc318581176"/>
      <w:r>
        <w:rPr>
          <w:rFonts w:hint="eastAsia" w:ascii="宋体" w:hAnsi="宋体"/>
          <w:color w:val="auto"/>
          <w:szCs w:val="21"/>
          <w:highlight w:val="none"/>
        </w:rPr>
        <w:t xml:space="preserve">估价材料和工程设备的明细详见附件11：《暂估价一览表》。</w:t>
      </w:r>
      <w:bookmarkEnd w:id="592"/>
      <w:r/>
      <w:bookmarkEnd w:id="593"/>
      <w:r/>
      <w:bookmarkEnd w:id="59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bookmarkStart w:id="595" w:name="_Toc318581177"/>
      <w:r/>
      <w:bookmarkStart w:id="596" w:name="_Toc312677509"/>
      <w:r/>
      <w:bookmarkStart w:id="597" w:name="_Toc312678035"/>
      <w:r>
        <w:rPr>
          <w:rFonts w:hint="eastAsia" w:ascii="宋体" w:hAnsi="宋体"/>
          <w:color w:val="auto"/>
          <w:szCs w:val="21"/>
          <w:highlight w:val="none"/>
        </w:rPr>
        <w:t xml:space="preserve">0.7.1 依法必须招标的暂估价项目</w:t>
      </w:r>
      <w:bookmarkEnd w:id="595"/>
      <w:r/>
      <w:bookmarkEnd w:id="596"/>
      <w:r/>
      <w:bookmarkEnd w:id="59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对于依法必须招标的暂估价项目的确认和批准采取第</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种方式确定</w:t>
      </w:r>
      <w:r>
        <w:rPr>
          <w:rFonts w:hint="eastAsia" w:ascii="宋体" w:hAnsi="宋体"/>
          <w:color w:val="auto"/>
          <w:szCs w:val="21"/>
          <w:highlight w:val="none"/>
          <w:u w:val="single"/>
        </w:rPr>
        <w:t xml:space="preserve">（参照通用条款10.7条）</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10.7.2 不属于依法必须招标的暂估价项目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对于不属于依法必须招标的暂估价项目的确认和批准采取第</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种方式确定</w:t>
      </w:r>
      <w:r>
        <w:rPr>
          <w:rFonts w:hint="eastAsia" w:ascii="宋体" w:hAnsi="宋体"/>
          <w:color w:val="auto"/>
          <w:szCs w:val="21"/>
          <w:highlight w:val="none"/>
          <w:u w:val="single"/>
        </w:rPr>
        <w:t xml:space="preserve">（参照通用条款10.7条）</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第3种方式：承包人直接实施的暂估价项目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承包人直接实施的暂估价项目的约定：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2"/>
        <w:spacing w:line="400" w:lineRule="exact"/>
        <w:rPr>
          <w:rFonts w:hint="eastAsia" w:ascii="宋体" w:hAnsi="宋体"/>
          <w:b/>
          <w:color w:val="auto"/>
          <w:szCs w:val="21"/>
          <w:highlight w:val="none"/>
        </w:rPr>
      </w:pPr>
      <w:r>
        <w:rPr>
          <w:rFonts w:hint="eastAsia" w:ascii="宋体" w:hAnsi="宋体"/>
          <w:b/>
          <w:color w:val="auto"/>
          <w:szCs w:val="21"/>
          <w:highlight w:val="none"/>
        </w:rPr>
        <w:t xml:space="preserve">10.8 暂列金额</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合同当事人关于暂列金额使用的约定：</w:t>
      </w:r>
      <w:r>
        <w:rPr>
          <w:rFonts w:hint="eastAsia" w:ascii="宋体" w:hAnsi="宋体"/>
          <w:color w:val="auto"/>
          <w:szCs w:val="21"/>
          <w:highlight w:val="none"/>
          <w:u w:val="single"/>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采购人委托具有建设行政主管部门颁发资质的造价咨询机构审定后，按照审定造价支付部分暂列金。暂列金是采购人自行确定设立的，承包人无权使用此笔费用。此费用按实际发生经采购人签证后确定全部使用、部分使用或不使用。暂列金额不计入工程款付款的基数。</w:t>
      </w:r>
      <w:r/>
    </w:p>
    <w:p>
      <w:pPr>
        <w:keepLines/>
        <w:keepNext/>
        <w:spacing w:before="280" w:after="290" w:line="400" w:lineRule="exact"/>
        <w:rPr>
          <w:rFonts w:hint="eastAsia" w:ascii="宋体" w:hAnsi="宋体" w:eastAsia="黑体"/>
          <w:b/>
          <w:bCs/>
          <w:color w:val="auto"/>
          <w:sz w:val="28"/>
          <w:highlight w:val="none"/>
        </w:rPr>
        <w:outlineLvl w:val="3"/>
      </w:pPr>
      <w:r/>
      <w:bookmarkStart w:id="598" w:name="_Toc351203643"/>
      <w:r>
        <w:rPr>
          <w:rFonts w:hint="eastAsia" w:ascii="宋体" w:hAnsi="宋体" w:eastAsia="黑体"/>
          <w:b/>
          <w:bCs/>
          <w:color w:val="auto"/>
          <w:sz w:val="28"/>
          <w:highlight w:val="none"/>
        </w:rPr>
        <w:t xml:space="preserve">11. 价格调整</w:t>
      </w:r>
      <w:bookmarkEnd w:id="598"/>
      <w:r/>
      <w:r/>
    </w:p>
    <w:p>
      <w:pPr>
        <w:ind w:firstLine="422"/>
        <w:spacing w:line="400" w:lineRule="exact"/>
        <w:rPr>
          <w:rFonts w:hint="eastAsia" w:ascii="宋体" w:hAnsi="宋体"/>
          <w:b/>
          <w:color w:val="auto"/>
          <w:szCs w:val="21"/>
          <w:highlight w:val="none"/>
        </w:rPr>
      </w:pPr>
      <w:r/>
      <w:bookmarkStart w:id="599" w:name="_Toc300935000"/>
      <w:r/>
      <w:bookmarkStart w:id="600" w:name="_Toc312678039"/>
      <w:r/>
      <w:bookmarkStart w:id="601" w:name="_Toc297120501"/>
      <w:r/>
      <w:bookmarkStart w:id="602" w:name="_Toc296346702"/>
      <w:r/>
      <w:bookmarkStart w:id="603" w:name="_Toc303539157"/>
      <w:r/>
      <w:bookmarkStart w:id="604" w:name="_Toc292559406"/>
      <w:r/>
      <w:bookmarkStart w:id="605" w:name="_Toc292559911"/>
      <w:r/>
      <w:bookmarkStart w:id="606" w:name="_Toc296347200"/>
      <w:r/>
      <w:bookmarkStart w:id="607" w:name="_Toc297216209"/>
      <w:r/>
      <w:bookmarkStart w:id="608" w:name="_Toc296891241"/>
      <w:r/>
      <w:bookmarkStart w:id="609" w:name="_Toc297123550"/>
      <w:r/>
      <w:bookmarkStart w:id="610" w:name="_Toc296503201"/>
      <w:r/>
      <w:bookmarkStart w:id="611" w:name="_Toc296944540"/>
      <w:r/>
      <w:bookmarkStart w:id="612" w:name="_Toc297048387"/>
      <w:r/>
      <w:bookmarkStart w:id="613" w:name="_Toc296891029"/>
      <w:r/>
      <w:bookmarkStart w:id="614" w:name="_Toc304295577"/>
      <w:r>
        <w:rPr>
          <w:rFonts w:hint="eastAsia" w:ascii="宋体" w:hAnsi="宋体"/>
          <w:b/>
          <w:color w:val="auto"/>
          <w:szCs w:val="21"/>
          <w:highlight w:val="none"/>
        </w:rPr>
        <w:t xml:space="preserve">11.1 市场价格波动引起的调整</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市场价格波动是否调整合同价格的约定：</w:t>
      </w:r>
      <w:r>
        <w:rPr>
          <w:rFonts w:hint="eastAsia" w:ascii="宋体" w:hAnsi="宋体"/>
          <w:color w:val="auto"/>
          <w:szCs w:val="21"/>
          <w:highlight w:val="none"/>
          <w:u w:val="single"/>
        </w:rPr>
        <w:t xml:space="preserve">人工费及各类建筑材料价格结算时不再调整，由承包人按照江苏省人工费及施工期间各类建材的市场风险和国家政策性风险系数调整幅度预测，在投标报价和签订本合同时综合考虑上涨因素进行报价，风险由承包人承担。</w:t>
      </w:r>
      <w:bookmarkEnd w:id="501"/>
      <w:r/>
      <w:bookmarkEnd w:id="502"/>
      <w:r/>
      <w:bookmarkEnd w:id="503"/>
      <w:r/>
      <w:bookmarkEnd w:id="504"/>
      <w:r/>
      <w:bookmarkEnd w:id="505"/>
      <w:r/>
      <w:bookmarkEnd w:id="506"/>
      <w:r/>
      <w:r/>
    </w:p>
    <w:p>
      <w:pPr>
        <w:keepLines/>
        <w:keepNext/>
        <w:spacing w:before="120" w:after="120" w:line="400" w:lineRule="exact"/>
        <w:rPr>
          <w:rFonts w:hint="eastAsia" w:ascii="宋体" w:hAnsi="宋体" w:eastAsia="黑体"/>
          <w:b/>
          <w:bCs/>
          <w:color w:val="auto"/>
          <w:sz w:val="28"/>
          <w:highlight w:val="none"/>
        </w:rPr>
        <w:outlineLvl w:val="3"/>
      </w:pPr>
      <w:r/>
      <w:bookmarkStart w:id="615" w:name="_Toc296891245"/>
      <w:r/>
      <w:bookmarkStart w:id="616" w:name="_Toc297120505"/>
      <w:r/>
      <w:bookmarkStart w:id="617" w:name="_Toc296503205"/>
      <w:r/>
      <w:bookmarkStart w:id="618" w:name="_Toc296944544"/>
      <w:r/>
      <w:bookmarkStart w:id="619" w:name="_Toc292559410"/>
      <w:r/>
      <w:bookmarkStart w:id="620" w:name="_Toc296891033"/>
      <w:r/>
      <w:bookmarkStart w:id="621" w:name="_Toc292559915"/>
      <w:r/>
      <w:bookmarkStart w:id="622" w:name="_Toc296347204"/>
      <w:r/>
      <w:bookmarkStart w:id="623" w:name="_Toc296346706"/>
      <w:r/>
      <w:bookmarkStart w:id="624" w:name="_Toc297048391"/>
      <w:r/>
      <w:bookmarkStart w:id="625" w:name="_Toc351203644"/>
      <w:r/>
      <w:bookmarkStart w:id="626" w:name="_Toc304295579"/>
      <w:r/>
      <w:bookmarkStart w:id="627" w:name="_Toc312678040"/>
      <w:r/>
      <w:bookmarkStart w:id="628" w:name="_Toc303539159"/>
      <w:r/>
      <w:bookmarkStart w:id="629" w:name="_Toc297216211"/>
      <w:r/>
      <w:bookmarkStart w:id="630" w:name="_Toc297123552"/>
      <w:r/>
      <w:bookmarkStart w:id="631" w:name="_Toc300935002"/>
      <w:r>
        <w:rPr>
          <w:rFonts w:hint="eastAsia" w:ascii="宋体" w:hAnsi="宋体" w:eastAsia="黑体"/>
          <w:b/>
          <w:bCs/>
          <w:color w:val="auto"/>
          <w:sz w:val="28"/>
          <w:highlight w:val="none"/>
        </w:rPr>
        <w:t xml:space="preserve">12. </w:t>
      </w:r>
      <w:bookmarkEnd w:id="615"/>
      <w:r/>
      <w:bookmarkEnd w:id="616"/>
      <w:r/>
      <w:bookmarkEnd w:id="617"/>
      <w:r/>
      <w:bookmarkEnd w:id="618"/>
      <w:r/>
      <w:bookmarkEnd w:id="619"/>
      <w:r/>
      <w:bookmarkEnd w:id="620"/>
      <w:r/>
      <w:bookmarkEnd w:id="621"/>
      <w:r/>
      <w:bookmarkEnd w:id="622"/>
      <w:r/>
      <w:bookmarkEnd w:id="623"/>
      <w:r/>
      <w:bookmarkEnd w:id="624"/>
      <w:r>
        <w:rPr>
          <w:rFonts w:hint="eastAsia" w:ascii="宋体" w:hAnsi="宋体" w:eastAsia="黑体"/>
          <w:b/>
          <w:bCs/>
          <w:color w:val="auto"/>
          <w:sz w:val="28"/>
          <w:highlight w:val="none"/>
        </w:rPr>
        <w:t xml:space="preserve">合同价格、计量与支付</w:t>
      </w:r>
      <w:bookmarkEnd w:id="625"/>
      <w:r/>
      <w:bookmarkEnd w:id="626"/>
      <w:r/>
      <w:bookmarkEnd w:id="627"/>
      <w:r/>
      <w:bookmarkEnd w:id="628"/>
      <w:r/>
      <w:bookmarkEnd w:id="629"/>
      <w:r/>
      <w:bookmarkEnd w:id="630"/>
      <w:r/>
      <w:bookmarkEnd w:id="631"/>
      <w:r/>
      <w:r/>
    </w:p>
    <w:p>
      <w:pPr>
        <w:ind w:firstLine="422"/>
        <w:spacing w:after="120" w:line="400" w:lineRule="exact"/>
        <w:rPr>
          <w:rFonts w:ascii="宋体" w:hAnsi="宋体"/>
          <w:b/>
          <w:color w:val="auto"/>
          <w:szCs w:val="21"/>
          <w:highlight w:val="none"/>
        </w:rPr>
      </w:pPr>
      <w:r/>
      <w:bookmarkStart w:id="632" w:name="_Toc292559916"/>
      <w:r/>
      <w:bookmarkStart w:id="633" w:name="_Toc292559411"/>
      <w:r/>
      <w:bookmarkStart w:id="634" w:name="_Toc267251461"/>
      <w:r/>
      <w:bookmarkStart w:id="635" w:name="_Toc296346707"/>
      <w:r/>
      <w:bookmarkStart w:id="636" w:name="_Toc296347205"/>
      <w:r/>
      <w:bookmarkStart w:id="637" w:name="_Toc296891246"/>
      <w:r/>
      <w:bookmarkStart w:id="638" w:name="_Toc297120506"/>
      <w:r/>
      <w:bookmarkStart w:id="639" w:name="_Toc297048392"/>
      <w:r/>
      <w:bookmarkStart w:id="640" w:name="_Toc296944545"/>
      <w:r/>
      <w:bookmarkStart w:id="641" w:name="_Toc296503206"/>
      <w:r/>
      <w:bookmarkStart w:id="642" w:name="_Toc296891034"/>
      <w:r/>
      <w:bookmarkStart w:id="643" w:name="_Toc297216212"/>
      <w:r/>
      <w:bookmarkStart w:id="644" w:name="_Toc300935003"/>
      <w:r/>
      <w:bookmarkStart w:id="645" w:name="_Toc304295580"/>
      <w:r/>
      <w:bookmarkStart w:id="646" w:name="_Toc297123553"/>
      <w:r/>
      <w:bookmarkStart w:id="647" w:name="_Toc312678041"/>
      <w:r/>
      <w:bookmarkStart w:id="648" w:name="_Toc303539160"/>
      <w:r>
        <w:rPr>
          <w:rFonts w:hint="eastAsia" w:ascii="宋体" w:hAnsi="宋体"/>
          <w:b/>
          <w:color w:val="auto"/>
          <w:szCs w:val="21"/>
          <w:highlight w:val="none"/>
        </w:rPr>
        <w:t xml:space="preserve">12.1 合</w:t>
      </w:r>
      <w:bookmarkEnd w:id="632"/>
      <w:r/>
      <w:bookmarkEnd w:id="633"/>
      <w:r/>
      <w:bookmarkEnd w:id="634"/>
      <w:r>
        <w:rPr>
          <w:rFonts w:hint="eastAsia" w:ascii="宋体" w:hAnsi="宋体"/>
          <w:b/>
          <w:color w:val="auto"/>
          <w:szCs w:val="21"/>
          <w:highlight w:val="none"/>
        </w:rPr>
        <w:t xml:space="preserve">同价</w:t>
      </w:r>
      <w:bookmarkEnd w:id="635"/>
      <w:r/>
      <w:bookmarkEnd w:id="636"/>
      <w:r/>
      <w:bookmarkEnd w:id="637"/>
      <w:r/>
      <w:bookmarkEnd w:id="638"/>
      <w:r/>
      <w:bookmarkEnd w:id="639"/>
      <w:r/>
      <w:bookmarkEnd w:id="640"/>
      <w:r/>
      <w:bookmarkEnd w:id="641"/>
      <w:r/>
      <w:bookmarkEnd w:id="642"/>
      <w:r>
        <w:rPr>
          <w:rFonts w:hint="eastAsia" w:ascii="宋体" w:hAnsi="宋体"/>
          <w:b/>
          <w:color w:val="auto"/>
          <w:szCs w:val="21"/>
          <w:highlight w:val="none"/>
        </w:rPr>
        <w:t xml:space="preserve">格形式</w:t>
      </w:r>
      <w:r/>
    </w:p>
    <w:p>
      <w:pPr>
        <w:ind w:firstLine="422"/>
        <w:spacing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本项目采用单价合同。</w:t>
      </w:r>
      <w:bookmarkEnd w:id="643"/>
      <w:r/>
      <w:bookmarkEnd w:id="644"/>
      <w:r/>
      <w:bookmarkEnd w:id="645"/>
      <w:r/>
      <w:bookmarkEnd w:id="646"/>
      <w:r/>
      <w:bookmarkEnd w:id="647"/>
      <w:r/>
      <w:bookmarkEnd w:id="6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1、单价合同。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综合单价包含的风险范围：</w:t>
      </w:r>
      <w:r>
        <w:rPr>
          <w:rFonts w:hint="eastAsia" w:ascii="宋体" w:hAnsi="宋体"/>
          <w:color w:val="auto"/>
          <w:szCs w:val="21"/>
          <w:highlight w:val="none"/>
          <w:u w:val="single"/>
        </w:rPr>
        <w:t xml:space="preserve">各种因素引起的人工工资、施工机械使用费、管理费、利润等变化及风险因素均不作调整。</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因市场价格波动引起的调整按第11.1款〔市场价格波动引起的调整〕约定执行</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总价包含的风险范围：</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风险费用的计算方法：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风险范围以外合同价格的调整方法：</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3、其他价格方式：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spacing w:after="120" w:line="400" w:lineRule="exact"/>
        <w:rPr>
          <w:rFonts w:hint="eastAsia" w:ascii="宋体" w:hAnsi="宋体"/>
          <w:color w:val="auto"/>
          <w:szCs w:val="21"/>
          <w:highlight w:val="none"/>
        </w:rPr>
      </w:pPr>
      <w:r/>
      <w:bookmarkStart w:id="649" w:name="_Toc312678042"/>
      <w:r/>
      <w:bookmarkStart w:id="650" w:name="_Toc303539161"/>
      <w:r/>
      <w:bookmarkStart w:id="651" w:name="_Toc300935004"/>
      <w:r/>
      <w:bookmarkStart w:id="652" w:name="_Toc304295581"/>
      <w:r/>
      <w:bookmarkStart w:id="653" w:name="_Toc297216213"/>
      <w:r/>
      <w:bookmarkStart w:id="654" w:name="_Toc297123554"/>
      <w:r/>
      <w:bookmarkStart w:id="655" w:name="_Toc296891035"/>
      <w:r/>
      <w:bookmarkStart w:id="656" w:name="_Toc296347206"/>
      <w:r/>
      <w:bookmarkStart w:id="657" w:name="_Toc296346708"/>
      <w:r/>
      <w:bookmarkStart w:id="658" w:name="_Toc297048393"/>
      <w:r/>
      <w:bookmarkStart w:id="659" w:name="_Toc292559412"/>
      <w:r/>
      <w:bookmarkStart w:id="660" w:name="_Toc297120507"/>
      <w:r/>
      <w:bookmarkStart w:id="661" w:name="_Toc296891247"/>
      <w:r/>
      <w:bookmarkStart w:id="662" w:name="_Toc296944546"/>
      <w:r/>
      <w:bookmarkStart w:id="663" w:name="_Toc296503207"/>
      <w:r/>
      <w:bookmarkStart w:id="664" w:name="_Toc292559917"/>
      <w:r>
        <w:rPr>
          <w:rFonts w:hint="eastAsia" w:ascii="宋体" w:hAnsi="宋体"/>
          <w:color w:val="auto"/>
          <w:szCs w:val="21"/>
          <w:highlight w:val="none"/>
        </w:rPr>
        <w:t xml:space="preserve">12.2 预付款</w:t>
      </w:r>
      <w:bookmarkEnd w:id="649"/>
      <w:r/>
      <w:bookmarkEnd w:id="650"/>
      <w:r/>
      <w:bookmarkEnd w:id="651"/>
      <w:r/>
      <w:bookmarkEnd w:id="652"/>
      <w:r/>
      <w:bookmarkEnd w:id="653"/>
      <w:r/>
      <w:bookmarkEnd w:id="6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12.2.1 预付款的支付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预付款支付比例或金额：</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预付款支付期限：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预付款扣回的方式：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12.2.2 预付款担保</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承包人提交预付款担保的期限：</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预付款担保的形式为：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655"/>
      <w:r/>
      <w:bookmarkEnd w:id="656"/>
      <w:r/>
      <w:bookmarkEnd w:id="657"/>
      <w:r/>
      <w:bookmarkEnd w:id="658"/>
      <w:r/>
      <w:bookmarkEnd w:id="659"/>
      <w:r/>
      <w:bookmarkEnd w:id="660"/>
      <w:r/>
      <w:bookmarkEnd w:id="661"/>
      <w:r/>
      <w:bookmarkEnd w:id="662"/>
      <w:r/>
      <w:bookmarkEnd w:id="663"/>
      <w:r/>
      <w:bookmarkEnd w:id="664"/>
      <w:r/>
      <w:r/>
    </w:p>
    <w:p>
      <w:pPr>
        <w:ind w:firstLine="420"/>
        <w:spacing w:after="120" w:line="400" w:lineRule="exact"/>
        <w:rPr>
          <w:rFonts w:hint="eastAsia" w:ascii="宋体" w:hAnsi="宋体"/>
          <w:color w:val="auto"/>
          <w:szCs w:val="21"/>
          <w:highlight w:val="none"/>
        </w:rPr>
      </w:pPr>
      <w:r>
        <w:rPr>
          <w:rFonts w:hint="eastAsia" w:ascii="宋体" w:hAnsi="宋体"/>
          <w:color w:val="auto"/>
          <w:szCs w:val="21"/>
          <w:highlight w:val="none"/>
        </w:rPr>
        <w:t xml:space="preserve">12.3 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12.3.1 计量原则</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工程量计算规则：</w:t>
      </w:r>
      <w:r>
        <w:rPr>
          <w:rFonts w:hint="eastAsia" w:ascii="宋体" w:hAnsi="宋体"/>
          <w:color w:val="auto"/>
          <w:szCs w:val="21"/>
          <w:highlight w:val="none"/>
          <w:u w:val="single"/>
        </w:rPr>
        <w:t xml:space="preserve">《建设工程工程量清单计价规范》（2013）、《江苏省建筑与安装工程计价表》（2014年）、《江苏省市政工程计价表》（2014）、《江苏省2014费用定额》、《关于发布省住房城乡建设厅关于发布建设工程人工工资指导价的通知》（苏建函价（202</w:t>
      </w:r>
      <w:r>
        <w:rPr>
          <w:rFonts w:hint="eastAsia" w:ascii="宋体" w:hAnsi="宋体"/>
          <w:color w:val="auto"/>
          <w:szCs w:val="21"/>
          <w:highlight w:val="none"/>
          <w:u w:val="single"/>
          <w:lang w:val="en-US" w:eastAsia="zh-CN"/>
        </w:rPr>
        <w:t xml:space="preserve">5</w:t>
      </w:r>
      <w:r>
        <w:rPr>
          <w:rFonts w:hint="eastAsia" w:ascii="宋体" w:hAnsi="宋体"/>
          <w:color w:val="auto"/>
          <w:szCs w:val="21"/>
          <w:highlight w:val="none"/>
          <w:u w:val="single"/>
        </w:rPr>
        <w:t xml:space="preserve">）</w:t>
      </w:r>
      <w:r>
        <w:rPr>
          <w:rFonts w:hint="eastAsia" w:ascii="宋体" w:hAnsi="宋体"/>
          <w:color w:val="auto"/>
          <w:szCs w:val="21"/>
          <w:highlight w:val="none"/>
          <w:u w:val="single"/>
          <w:lang w:val="en-US" w:eastAsia="zh-CN"/>
        </w:rPr>
        <w:t xml:space="preserve">66</w:t>
      </w:r>
      <w:r>
        <w:rPr>
          <w:rFonts w:hint="eastAsia" w:ascii="宋体" w:hAnsi="宋体"/>
          <w:color w:val="auto"/>
          <w:szCs w:val="21"/>
          <w:highlight w:val="none"/>
          <w:u w:val="single"/>
        </w:rPr>
        <w:t xml:space="preserve">号）</w:t>
      </w:r>
      <w:r>
        <w:rPr>
          <w:rFonts w:hint="eastAsia" w:ascii="宋体" w:hAnsi="宋体"/>
          <w:color w:val="auto"/>
          <w:szCs w:val="21"/>
          <w:highlight w:val="none"/>
          <w:u w:val="single"/>
          <w:lang w:eastAsia="zh-CN"/>
        </w:rPr>
        <w:t xml:space="preserve">、《省住房城乡建设厅关于建筑业增值税计价政策调整的通知》（苏建函价〔2019〕178号）、省、市建设行政主管部门有关建设工程取费标准及费用调整文件</w:t>
      </w:r>
      <w:r>
        <w:rPr>
          <w:rFonts w:hint="eastAsia" w:ascii="宋体" w:hAnsi="宋体"/>
          <w:color w:val="auto"/>
          <w:szCs w:val="21"/>
          <w:highlight w:val="none"/>
          <w:u w:val="single"/>
        </w:rPr>
        <w:t xml:space="preserve">等现行的国家标准和行业标准为依据。</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12.3.2 计量周期</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关于计量周期的约定：</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12.3.3 单价合同的计量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关于单价合同计量的约定：</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12.3.4 总价合同的计量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关于总价合同计量的约定：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12.3.5总价合同采用支付分解表计量支付的，是否适用第12.3.4 项〔总价合同的计量〕约定进行计量：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12.3.6 其他价格形式合同的计量</w:t>
      </w:r>
      <w:r/>
    </w:p>
    <w:p>
      <w:pPr>
        <w:ind w:firstLine="420"/>
        <w:jc w:val="left"/>
        <w:spacing w:line="400" w:lineRule="exact"/>
        <w:rPr>
          <w:rFonts w:ascii="Times New Roman" w:hAnsi="Times New Roman" w:eastAsia="仿宋_GB2312"/>
          <w:color w:val="auto"/>
          <w:sz w:val="24"/>
          <w:szCs w:val="21"/>
          <w:highlight w:val="none"/>
        </w:rPr>
      </w:pPr>
      <w:r>
        <w:rPr>
          <w:rFonts w:hint="eastAsia" w:ascii="宋体" w:hAnsi="宋体"/>
          <w:color w:val="auto"/>
          <w:szCs w:val="21"/>
          <w:highlight w:val="none"/>
        </w:rPr>
        <w:t xml:space="preserve">其他价格形式的计量方式和程序：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12.4 工程进度款支付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12.4.1 付款周期</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关于付款周期的约定：</w:t>
      </w:r>
      <w:r/>
    </w:p>
    <w:p>
      <w:pPr>
        <w:ind w:firstLine="422"/>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工程验收合格并完成审计后，支付审计价的80%，两年质保期结束后，余款一次性付清。</w:t>
      </w:r>
      <w:r/>
    </w:p>
    <w:p>
      <w:pPr>
        <w:ind w:firstLine="422"/>
        <w:jc w:val="left"/>
        <w:spacing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每次支付前，承包人均应出具税务部门开具的相应金额的税务发票。否则发包人有权拒付工程款，且不承担延期支付款项的违约责任。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12.4.2 进度付款申请单的编制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关于进度付款申请单编制的约定：</w:t>
      </w:r>
      <w:r>
        <w:rPr>
          <w:rFonts w:hint="eastAsia" w:ascii="宋体" w:hAnsi="宋体" w:cs="宋体"/>
          <w:color w:val="auto"/>
          <w:szCs w:val="21"/>
          <w:highlight w:val="none"/>
          <w:u w:val="single"/>
        </w:rPr>
        <w:t xml:space="preserve">承包人提供</w:t>
      </w:r>
      <w:r>
        <w:rPr>
          <w:rFonts w:hint="eastAsia" w:ascii="宋体" w:hAnsi="宋体"/>
          <w:color w:val="auto"/>
          <w:szCs w:val="21"/>
          <w:highlight w:val="none"/>
          <w:u w:val="single"/>
        </w:rPr>
        <w:t xml:space="preserve">已完成约定进度的证明，相应金额的税务发票</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12.4.3 进度付款申请单的提交</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（1）单价合同进度付款申请单提交的约定：</w:t>
      </w:r>
      <w:r>
        <w:rPr>
          <w:rFonts w:hint="eastAsia" w:ascii="宋体" w:hAnsi="宋体"/>
          <w:color w:val="auto"/>
          <w:szCs w:val="21"/>
          <w:highlight w:val="none"/>
          <w:u w:val="single"/>
        </w:rPr>
        <w:t xml:space="preserve">按节点提交</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（2）总价合同进度付款申请单提交的约定：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（3）其他价格形式合同进度付款申请单提交的约定：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12.4.4 进度款审核和支付</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（1）监理人审查并报送发包人的期限：</w:t>
      </w:r>
      <w:r>
        <w:rPr>
          <w:rFonts w:hint="eastAsia" w:ascii="宋体" w:hAnsi="宋体"/>
          <w:color w:val="auto"/>
          <w:szCs w:val="21"/>
          <w:highlight w:val="none"/>
          <w:u w:val="single"/>
        </w:rPr>
        <w:t xml:space="preserve">  收到申请7天内   </w:t>
      </w:r>
      <w:r>
        <w:rPr>
          <w:rFonts w:hint="eastAsia" w:ascii="宋体" w:hAnsi="宋体"/>
          <w:color w:val="auto"/>
          <w:szCs w:val="21"/>
          <w:highlight w:val="none"/>
        </w:rPr>
        <w:t xml:space="preserve">。</w:t>
      </w:r>
      <w:r/>
    </w:p>
    <w:p>
      <w:pPr>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发包人完成审批并签发进度款支付证书的期限：</w:t>
      </w:r>
      <w:r>
        <w:rPr>
          <w:rFonts w:hint="eastAsia" w:ascii="宋体" w:hAnsi="宋体"/>
          <w:color w:val="auto"/>
          <w:szCs w:val="21"/>
          <w:highlight w:val="none"/>
          <w:u w:val="single"/>
        </w:rPr>
        <w:t xml:space="preserve">收到通过监理审查的审核表后10天内。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（2）发包人支付进度款的期限：</w:t>
      </w:r>
      <w:r>
        <w:rPr>
          <w:rFonts w:hint="eastAsia" w:ascii="宋体" w:hAnsi="宋体"/>
          <w:color w:val="auto"/>
          <w:szCs w:val="21"/>
          <w:highlight w:val="none"/>
          <w:u w:val="single"/>
        </w:rPr>
        <w:t xml:space="preserve">按合同要求执行</w:t>
      </w:r>
      <w:r>
        <w:rPr>
          <w:rFonts w:hint="eastAsia" w:ascii="宋体" w:hAnsi="宋体"/>
          <w:color w:val="auto"/>
          <w:szCs w:val="21"/>
          <w:highlight w:val="none"/>
        </w:rPr>
        <w:t xml:space="preserve">。</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发包人逾期支付进度款的违约金的计算方式：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525"/>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12.4.6 支付分解表的编制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2、总价合同支付分解表的编制与审批：</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3、单价合同的总价项目支付分解表的编制与审批：</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keepLines/>
        <w:keepNext/>
        <w:spacing w:before="280" w:after="290" w:line="400" w:lineRule="exact"/>
        <w:rPr>
          <w:rFonts w:hint="eastAsia" w:ascii="宋体" w:hAnsi="宋体" w:eastAsia="黑体"/>
          <w:bCs/>
          <w:color w:val="auto"/>
          <w:sz w:val="28"/>
          <w:highlight w:val="none"/>
        </w:rPr>
        <w:outlineLvl w:val="3"/>
      </w:pPr>
      <w:r/>
      <w:bookmarkStart w:id="665" w:name="_Toc351203645"/>
      <w:r/>
      <w:bookmarkStart w:id="666" w:name="_Toc303539172"/>
      <w:r/>
      <w:bookmarkStart w:id="667" w:name="_Toc297120519"/>
      <w:r/>
      <w:bookmarkStart w:id="668" w:name="_Toc296944558"/>
      <w:r/>
      <w:bookmarkStart w:id="669" w:name="_Toc292559424"/>
      <w:r/>
      <w:bookmarkStart w:id="670" w:name="_Toc296891047"/>
      <w:r/>
      <w:bookmarkStart w:id="671" w:name="_Toc297216223"/>
      <w:r/>
      <w:bookmarkStart w:id="672" w:name="_Toc297123564"/>
      <w:r/>
      <w:bookmarkStart w:id="673" w:name="_Toc296347218"/>
      <w:r/>
      <w:bookmarkStart w:id="674" w:name="_Toc304295593"/>
      <w:r/>
      <w:bookmarkStart w:id="675" w:name="_Toc297048405"/>
      <w:r/>
      <w:bookmarkStart w:id="676" w:name="_Toc312678053"/>
      <w:r/>
      <w:bookmarkStart w:id="677" w:name="_Toc292559929"/>
      <w:r/>
      <w:bookmarkStart w:id="678" w:name="_Toc296891259"/>
      <w:r/>
      <w:bookmarkStart w:id="679" w:name="_Toc300935015"/>
      <w:r/>
      <w:bookmarkStart w:id="680" w:name="_Toc296503219"/>
      <w:r/>
      <w:bookmarkStart w:id="681" w:name="_Toc296346720"/>
      <w:r>
        <w:rPr>
          <w:rFonts w:hint="eastAsia" w:ascii="宋体" w:hAnsi="宋体" w:eastAsia="黑体"/>
          <w:bCs/>
          <w:color w:val="auto"/>
          <w:sz w:val="28"/>
          <w:highlight w:val="none"/>
        </w:rPr>
        <w:t xml:space="preserve">13. 验收和工程试车</w:t>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13.1 分部分项工程验收</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13.1.2监理人不能按时进行验收时，应提前</w:t>
      </w:r>
      <w:r>
        <w:rPr>
          <w:rFonts w:hint="eastAsia" w:ascii="宋体" w:hAnsi="宋体"/>
          <w:color w:val="auto"/>
          <w:szCs w:val="21"/>
          <w:highlight w:val="none"/>
          <w:u w:val="single"/>
        </w:rPr>
        <w:t xml:space="preserve">12</w:t>
      </w:r>
      <w:r>
        <w:rPr>
          <w:rFonts w:hint="eastAsia" w:ascii="宋体" w:hAnsi="宋体"/>
          <w:color w:val="auto"/>
          <w:szCs w:val="21"/>
          <w:highlight w:val="none"/>
        </w:rPr>
        <w:t xml:space="preserve">小时提交书面延期要求。</w:t>
      </w:r>
      <w:r/>
    </w:p>
    <w:p>
      <w:pPr>
        <w:ind w:firstLine="420"/>
        <w:jc w:val="left"/>
        <w:spacing w:line="400" w:lineRule="exact"/>
        <w:rPr>
          <w:rFonts w:hint="eastAsia" w:ascii="宋体" w:hAnsi="宋体"/>
          <w:b/>
          <w:color w:val="auto"/>
          <w:szCs w:val="21"/>
          <w:highlight w:val="none"/>
        </w:rPr>
      </w:pPr>
      <w:r>
        <w:rPr>
          <w:rFonts w:hint="eastAsia" w:ascii="宋体" w:hAnsi="宋体"/>
          <w:color w:val="auto"/>
          <w:szCs w:val="21"/>
          <w:highlight w:val="none"/>
        </w:rPr>
        <w:t xml:space="preserve">关于延期最长不得超过：</w:t>
      </w:r>
      <w:r>
        <w:rPr>
          <w:rFonts w:hint="eastAsia" w:ascii="宋体" w:hAnsi="宋体"/>
          <w:color w:val="auto"/>
          <w:szCs w:val="21"/>
          <w:highlight w:val="none"/>
          <w:u w:val="single"/>
        </w:rPr>
        <w:t xml:space="preserve">24</w:t>
      </w:r>
      <w:r>
        <w:rPr>
          <w:rFonts w:hint="eastAsia" w:ascii="宋体" w:hAnsi="宋体"/>
          <w:color w:val="auto"/>
          <w:szCs w:val="21"/>
          <w:highlight w:val="none"/>
        </w:rPr>
        <w:t xml:space="preserve">小时。</w:t>
      </w:r>
      <w:r/>
    </w:p>
    <w:p>
      <w:pPr>
        <w:ind w:firstLine="420"/>
        <w:spacing w:line="400" w:lineRule="exact"/>
        <w:rPr>
          <w:rFonts w:hint="eastAsia" w:ascii="宋体" w:hAnsi="宋体"/>
          <w:color w:val="auto"/>
          <w:szCs w:val="21"/>
          <w:highlight w:val="none"/>
        </w:rPr>
      </w:pPr>
      <w:r/>
      <w:bookmarkStart w:id="682" w:name="_Toc296891263"/>
      <w:r/>
      <w:bookmarkStart w:id="683" w:name="_Toc296346724"/>
      <w:r/>
      <w:bookmarkStart w:id="684" w:name="_Toc296944562"/>
      <w:r/>
      <w:bookmarkStart w:id="685" w:name="_Toc292559428"/>
      <w:r/>
      <w:bookmarkStart w:id="686" w:name="_Toc296347222"/>
      <w:r/>
      <w:bookmarkStart w:id="687" w:name="_Toc304295596"/>
      <w:r/>
      <w:bookmarkStart w:id="688" w:name="_Toc297048409"/>
      <w:r/>
      <w:bookmarkStart w:id="689" w:name="_Toc296503223"/>
      <w:r/>
      <w:bookmarkStart w:id="690" w:name="_Toc296891051"/>
      <w:r/>
      <w:bookmarkStart w:id="691" w:name="_Toc312678056"/>
      <w:r/>
      <w:bookmarkStart w:id="692" w:name="_Toc303539173"/>
      <w:r/>
      <w:bookmarkStart w:id="693" w:name="_Toc297123565"/>
      <w:r/>
      <w:bookmarkStart w:id="694" w:name="_Toc297216224"/>
      <w:r/>
      <w:bookmarkStart w:id="695" w:name="_Toc300935016"/>
      <w:r/>
      <w:bookmarkStart w:id="696" w:name="_Toc297120523"/>
      <w:r/>
      <w:bookmarkStart w:id="697" w:name="_Toc292559933"/>
      <w:r/>
      <w:bookmarkStart w:id="698" w:name="_Toc267251472"/>
      <w:r/>
      <w:bookmarkStart w:id="699" w:name="_Toc267251471"/>
      <w:r/>
      <w:bookmarkStart w:id="700" w:name="_Toc267251475"/>
      <w:r/>
      <w:bookmarkStart w:id="701" w:name="_Toc267251473"/>
      <w:r/>
      <w:bookmarkStart w:id="702" w:name="_Toc267251474"/>
      <w:r/>
      <w:bookmarkStart w:id="703" w:name="_Toc267251470"/>
      <w:r/>
      <w:bookmarkStart w:id="704" w:name="_Toc267251476"/>
      <w:r>
        <w:rPr>
          <w:rFonts w:hint="eastAsia" w:ascii="宋体" w:hAnsi="宋体"/>
          <w:color w:val="auto"/>
          <w:szCs w:val="21"/>
          <w:highlight w:val="none"/>
        </w:rPr>
        <w:t xml:space="preserve">13.2 竣工验收</w:t>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r/>
    </w:p>
    <w:p>
      <w:pPr>
        <w:ind w:firstLine="420"/>
        <w:jc w:val="left"/>
        <w:spacing w:line="400" w:lineRule="exact"/>
        <w:rPr>
          <w:rFonts w:hint="eastAsia" w:ascii="宋体" w:hAnsi="宋体"/>
          <w:color w:val="auto"/>
          <w:szCs w:val="21"/>
          <w:highlight w:val="none"/>
        </w:rPr>
      </w:pPr>
      <w:r/>
      <w:bookmarkStart w:id="705" w:name="_Toc280868704"/>
      <w:r/>
      <w:bookmarkStart w:id="706" w:name="_Toc280868705"/>
      <w:r/>
      <w:bookmarkStart w:id="707" w:name="_Toc280868706"/>
      <w:r/>
      <w:bookmarkStart w:id="708" w:name="_Toc280868707"/>
      <w:r/>
      <w:bookmarkStart w:id="709" w:name="_Toc280868708"/>
      <w:r/>
      <w:bookmarkStart w:id="710" w:name="_Toc280868709"/>
      <w:r>
        <w:rPr>
          <w:rFonts w:hint="eastAsia" w:ascii="宋体" w:hAnsi="宋体"/>
          <w:color w:val="auto"/>
          <w:szCs w:val="21"/>
          <w:highlight w:val="none"/>
        </w:rPr>
        <w:t xml:space="preserve">13.2.2竣工验收程序</w:t>
      </w:r>
      <w:bookmarkEnd w:id="705"/>
      <w:r/>
      <w:r/>
    </w:p>
    <w:p>
      <w:pPr>
        <w:ind w:firstLine="397"/>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关于竣工验收程序的约定：</w:t>
      </w:r>
      <w:r>
        <w:rPr>
          <w:rFonts w:hint="eastAsia" w:ascii="宋体" w:hAnsi="宋体"/>
          <w:color w:val="auto"/>
          <w:szCs w:val="21"/>
          <w:highlight w:val="none"/>
          <w:u w:val="single"/>
        </w:rPr>
        <w:t xml:space="preserve">（1）工程具备竣工验收条件，承包人按国家工程竣工验收有关规定的验收要求，提前15天向监理单位提供完整竣工资料、竣工报告及工程质量保修书。监理单位认为符合验收条件后组织发包人、监理单位初步验收。承包人必须按发包人要求做好验收“标识”工作。</w:t>
      </w:r>
      <w:r/>
    </w:p>
    <w:p>
      <w:pPr>
        <w:ind w:firstLine="416"/>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（2）初验合格后，发包人与有关部门联系，确定验收日期，组织有勘察、设计、监理单位、政府有关部门、发包人、承包人参加的竣工验收。发包人应在竣工验收通过后 5 天内对工程瑕疵及其他遗留问题等提出整改意见，承包人应立即按发包人意见整改。承包人未能按照发包人要求完成整改的，则不予竣工结算。</w:t>
      </w:r>
      <w:r/>
    </w:p>
    <w:p>
      <w:pPr>
        <w:ind w:firstLine="416"/>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3）承包人竣工验收通过后30天内向发包人移交完整的竣工资料及竣工图纸三套及相应的电子文档资料（竣工资料及竣工图纸必须准确真实的反映实际施工情况）。另外，承包人应大力配合发包人及时向城市档案馆办理工程资料验收和移交。属于发包人应提供的资料，由发包人负责及时提供给承包人，由承包人汇总整理后，交由发包人移交档案馆。承包人未按规定向发包人移交资料造成的损失，由承包人承担。</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发包人不按照本项约定组织竣工验收、颁发工程接收证书的，</w:t>
      </w:r>
      <w:r>
        <w:rPr>
          <w:rFonts w:hint="eastAsia" w:ascii="宋体" w:hAnsi="宋体"/>
          <w:color w:val="auto"/>
          <w:szCs w:val="21"/>
          <w:highlight w:val="none"/>
          <w:u w:val="single"/>
        </w:rPr>
        <w:t xml:space="preserve">竣工资料履约保证金不予退还，并额外承担违约金，违约金的计算方法：按通用条款执行</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发包人不按照本项约定组织竣工验收、颁发工程接收证书的违约金的计算方法：</w:t>
      </w:r>
      <w:bookmarkEnd w:id="706"/>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13.2.5移交、接收全部与部分工程</w:t>
      </w:r>
      <w:bookmarkEnd w:id="707"/>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承包人向发包人移交工程的期限：</w:t>
      </w:r>
      <w:r>
        <w:rPr>
          <w:rFonts w:hint="eastAsia" w:ascii="宋体" w:hAnsi="宋体"/>
          <w:color w:val="auto"/>
          <w:szCs w:val="21"/>
          <w:highlight w:val="none"/>
          <w:u w:val="single"/>
        </w:rPr>
        <w:t xml:space="preserve">按通用条款</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发包人未按本合同约定接收全部或部分工程的，违约金的计算方法为：</w:t>
      </w:r>
      <w:r>
        <w:rPr>
          <w:rFonts w:hint="eastAsia" w:ascii="宋体" w:hAnsi="宋体"/>
          <w:color w:val="auto"/>
          <w:szCs w:val="21"/>
          <w:highlight w:val="none"/>
          <w:u w:val="single"/>
        </w:rPr>
        <w:t xml:space="preserve">                               </w:t>
      </w:r>
      <w:bookmarkEnd w:id="708"/>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承包人未按时移交工程的，违约金的计算方法为：</w:t>
      </w:r>
      <w:r>
        <w:rPr>
          <w:rFonts w:hint="eastAsia" w:ascii="宋体" w:hAnsi="宋体"/>
          <w:color w:val="auto"/>
          <w:szCs w:val="21"/>
          <w:highlight w:val="none"/>
          <w:u w:val="single"/>
        </w:rPr>
        <w:t xml:space="preserve">承包人每日需向发包人按照工程合同暂定造价0.5‰承担违约责任，赔偿未按时移交工程给发包人产生的其他直接和间接损失。</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13.3 工程试车</w:t>
      </w:r>
      <w:bookmarkEnd w:id="709"/>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13.3.1 试车程序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工程试车内容：</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（1）单机无负荷试车费用由</w:t>
      </w:r>
      <w:r>
        <w:rPr>
          <w:rFonts w:hint="eastAsia" w:ascii="宋体" w:hAnsi="宋体"/>
          <w:color w:val="auto"/>
          <w:szCs w:val="21"/>
          <w:highlight w:val="none"/>
          <w:u w:val="single"/>
        </w:rPr>
        <w:t xml:space="preserve">  已含在双方约定的计价中  </w:t>
      </w:r>
      <w:r>
        <w:rPr>
          <w:rFonts w:hint="eastAsia" w:ascii="宋体" w:hAnsi="宋体"/>
          <w:color w:val="auto"/>
          <w:szCs w:val="21"/>
          <w:highlight w:val="none"/>
        </w:rPr>
        <w:t xml:space="preserve">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（2）无负荷联动试车费用由</w:t>
      </w:r>
      <w:r>
        <w:rPr>
          <w:rFonts w:hint="eastAsia" w:ascii="宋体" w:hAnsi="宋体"/>
          <w:color w:val="auto"/>
          <w:szCs w:val="21"/>
          <w:highlight w:val="none"/>
          <w:u w:val="single"/>
        </w:rPr>
        <w:t xml:space="preserve">  已含在双方约定的计价中  </w:t>
      </w:r>
      <w:r>
        <w:rPr>
          <w:rFonts w:hint="eastAsia" w:ascii="宋体" w:hAnsi="宋体"/>
          <w:color w:val="auto"/>
          <w:szCs w:val="21"/>
          <w:highlight w:val="none"/>
        </w:rPr>
        <w:t xml:space="preserve">承担。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13.3.3 投料试车</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关于投料试车相关事项的约定：</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outlineLvl w:val="0"/>
      </w:pPr>
      <w:r/>
      <w:bookmarkStart w:id="711" w:name="_Toc8724"/>
      <w:r/>
      <w:bookmarkStart w:id="712" w:name="_Toc6934"/>
      <w:r>
        <w:rPr>
          <w:rFonts w:hint="eastAsia" w:ascii="宋体" w:hAnsi="宋体"/>
          <w:color w:val="auto"/>
          <w:szCs w:val="21"/>
          <w:highlight w:val="none"/>
        </w:rPr>
        <w:t xml:space="preserve">13.6 竣工退场</w:t>
      </w:r>
      <w:bookmarkEnd w:id="711"/>
      <w:r/>
      <w:bookmarkEnd w:id="712"/>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13.6.1 竣工退场</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承包人完成竣工退场的期限：</w:t>
      </w:r>
      <w:r>
        <w:rPr>
          <w:rFonts w:hint="eastAsia" w:ascii="宋体" w:hAnsi="宋体"/>
          <w:color w:val="auto"/>
          <w:szCs w:val="21"/>
          <w:highlight w:val="none"/>
          <w:u w:val="single"/>
        </w:rPr>
        <w:t xml:space="preserve">工程竣工验收后15天内, 撤出全部临建、施工人员、机械设备和剩余材料（除收尾工程所需的以外），并将所有承包范围内的工程清理干净。若未按照发包人指令执行，不能及时拆除或清理，原施工现场所有遗留物均视为建筑垃圾，发包人有权派人强行拆除并清理，所有损失由承包人承担，承包人还须承担发包人由此支付的所有费用（包括但不限于委托处理费用），相应的清场费用一并从工程款中扣除。</w:t>
      </w:r>
      <w:r/>
    </w:p>
    <w:p>
      <w:pPr>
        <w:keepLines/>
        <w:keepNext/>
        <w:spacing w:before="280" w:after="290" w:line="400" w:lineRule="exact"/>
        <w:rPr>
          <w:rFonts w:hint="eastAsia" w:ascii="宋体" w:hAnsi="宋体" w:eastAsia="黑体"/>
          <w:bCs/>
          <w:color w:val="auto"/>
          <w:sz w:val="28"/>
          <w:highlight w:val="none"/>
        </w:rPr>
        <w:outlineLvl w:val="3"/>
      </w:pPr>
      <w:r/>
      <w:bookmarkStart w:id="713" w:name="_Toc351203646"/>
      <w:r>
        <w:rPr>
          <w:rFonts w:hint="eastAsia" w:ascii="宋体" w:hAnsi="宋体" w:eastAsia="黑体"/>
          <w:bCs/>
          <w:color w:val="auto"/>
          <w:sz w:val="28"/>
          <w:highlight w:val="none"/>
        </w:rPr>
        <w:t xml:space="preserve">14. 竣工结算</w:t>
      </w:r>
      <w:bookmarkEnd w:id="713"/>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14.1 竣工结算申请</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承包人提交竣工结算申请单的期限：</w:t>
      </w:r>
      <w:r>
        <w:rPr>
          <w:rFonts w:hint="eastAsia" w:ascii="宋体" w:hAnsi="宋体"/>
          <w:color w:val="auto"/>
          <w:szCs w:val="21"/>
          <w:highlight w:val="none"/>
          <w:u w:val="single"/>
        </w:rPr>
        <w:t xml:space="preserve">工程竣工验收合格，经档案馆验收且工程竣工验收备案通过后30天内向发包人和监理人提交竣工结算申请单，并提交完整的结算资料。</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竣工结算申请单应包括的内容：</w:t>
      </w:r>
      <w:r>
        <w:rPr>
          <w:rFonts w:hint="eastAsia" w:ascii="宋体" w:hAnsi="宋体"/>
          <w:color w:val="auto"/>
          <w:szCs w:val="21"/>
          <w:highlight w:val="none"/>
          <w:u w:val="single"/>
        </w:rPr>
        <w:t xml:space="preserve">按通用条款，提交的竣工结算资料必须完整，发包人不分次接受竣工结算资料；承包人逾期提交结算资料，造成竣工结算迟延支付的，发包人不承担违约责任。</w:t>
      </w:r>
      <w:r/>
    </w:p>
    <w:p>
      <w:pPr>
        <w:ind w:firstLine="420"/>
        <w:spacing w:line="400" w:lineRule="exact"/>
        <w:rPr>
          <w:rFonts w:hint="eastAsia" w:ascii="宋体" w:hAnsi="宋体"/>
          <w:color w:val="auto"/>
          <w:szCs w:val="21"/>
          <w:highlight w:val="none"/>
        </w:rPr>
        <w:outlineLvl w:val="0"/>
      </w:pPr>
      <w:r/>
      <w:bookmarkStart w:id="714" w:name="_Toc16510"/>
      <w:r/>
      <w:bookmarkStart w:id="715" w:name="_Toc16504"/>
      <w:r>
        <w:rPr>
          <w:rFonts w:hint="eastAsia" w:ascii="宋体" w:hAnsi="宋体"/>
          <w:color w:val="auto"/>
          <w:szCs w:val="21"/>
          <w:highlight w:val="none"/>
        </w:rPr>
        <w:t xml:space="preserve">14.2 竣工结算审核</w:t>
      </w:r>
      <w:bookmarkEnd w:id="714"/>
      <w:r/>
      <w:bookmarkEnd w:id="715"/>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发包人审批竣工付款申请单的期限：</w:t>
      </w:r>
      <w:r>
        <w:rPr>
          <w:rFonts w:hint="eastAsia" w:ascii="宋体" w:hAnsi="宋体"/>
          <w:color w:val="auto"/>
          <w:szCs w:val="21"/>
          <w:highlight w:val="none"/>
          <w:u w:val="single"/>
        </w:rPr>
        <w:t xml:space="preserve">承包人应在工程竣工验收后3- 6个月内提供完整的竣工结算报告及结算资料，发包人收到承包人递交的完整竣工结算报告及结算资料后6个月内审计完成，承包人应积极配合审计并及时给予修正和确认，承包人不配合、不及时修正、不及时确认的，发包人有权相应顺延审计期；竣工结算的审计单位为发包人指定的具有相应资质的审计单位。</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发包人完成竣工付款的期限：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关于竣工付款证书异议部分复核的方式和程序：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14.4 最终结清</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14.4.1 最终结清申请单</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承包人提交最终结清申请单的份数：</w:t>
      </w:r>
      <w:r>
        <w:rPr>
          <w:rFonts w:hint="eastAsia" w:ascii="宋体" w:hAnsi="宋体"/>
          <w:color w:val="auto"/>
          <w:szCs w:val="21"/>
          <w:highlight w:val="none"/>
          <w:u w:val="single"/>
        </w:rPr>
        <w:t xml:space="preserve">四份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承包人提交最终结算申请单的期限：</w:t>
      </w:r>
      <w:r>
        <w:rPr>
          <w:rFonts w:hint="eastAsia" w:ascii="宋体" w:hAnsi="宋体"/>
          <w:color w:val="auto"/>
          <w:szCs w:val="21"/>
          <w:highlight w:val="none"/>
          <w:u w:val="single"/>
        </w:rPr>
        <w:t xml:space="preserve">质量保修期满</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14.4.2 最终结清证书和支付</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（1）发包人完成最终结清申请单的审批并颁发最终结清证书的期限：</w:t>
      </w:r>
      <w:r>
        <w:rPr>
          <w:rFonts w:hint="eastAsia" w:ascii="宋体" w:hAnsi="宋体"/>
          <w:color w:val="auto"/>
          <w:szCs w:val="21"/>
          <w:highlight w:val="none"/>
          <w:u w:val="single"/>
        </w:rPr>
        <w:t xml:space="preserve">收到申请28天内</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（2）发包人完成支付的期限：</w:t>
      </w:r>
      <w:r>
        <w:rPr>
          <w:rFonts w:hint="eastAsia" w:ascii="宋体" w:hAnsi="宋体"/>
          <w:color w:val="auto"/>
          <w:szCs w:val="21"/>
          <w:highlight w:val="none"/>
          <w:u w:val="single"/>
        </w:rPr>
        <w:t xml:space="preserve">申请签发14天内</w:t>
      </w:r>
      <w:r>
        <w:rPr>
          <w:rFonts w:hint="eastAsia" w:ascii="宋体" w:hAnsi="宋体"/>
          <w:color w:val="auto"/>
          <w:szCs w:val="21"/>
          <w:highlight w:val="none"/>
        </w:rPr>
        <w:t xml:space="preserve">。</w:t>
      </w:r>
      <w:bookmarkEnd w:id="698"/>
      <w:r/>
      <w:bookmarkEnd w:id="699"/>
      <w:r/>
      <w:bookmarkEnd w:id="700"/>
      <w:r/>
      <w:bookmarkEnd w:id="701"/>
      <w:r/>
      <w:bookmarkEnd w:id="702"/>
      <w:r/>
      <w:bookmarkEnd w:id="703"/>
      <w:r/>
      <w:bookmarkEnd w:id="704"/>
      <w:r/>
      <w:bookmarkEnd w:id="710"/>
      <w:r/>
      <w:r/>
    </w:p>
    <w:p>
      <w:pPr>
        <w:keepLines/>
        <w:keepNext/>
        <w:spacing w:before="280" w:after="290" w:line="400" w:lineRule="exact"/>
        <w:rPr>
          <w:rFonts w:hint="eastAsia" w:ascii="宋体" w:hAnsi="宋体" w:eastAsia="黑体"/>
          <w:b/>
          <w:bCs/>
          <w:color w:val="auto"/>
          <w:sz w:val="28"/>
          <w:highlight w:val="none"/>
        </w:rPr>
        <w:outlineLvl w:val="3"/>
      </w:pPr>
      <w:r/>
      <w:bookmarkStart w:id="716" w:name="_Toc351203647"/>
      <w:r/>
      <w:bookmarkStart w:id="717" w:name="_Toc267251483"/>
      <w:r/>
      <w:bookmarkStart w:id="718" w:name="_Toc267251484"/>
      <w:r/>
      <w:bookmarkStart w:id="719" w:name="_Toc267251482"/>
      <w:r/>
      <w:bookmarkStart w:id="720" w:name="_Toc267251485"/>
      <w:r/>
      <w:bookmarkStart w:id="721" w:name="_Toc267251486"/>
      <w:r/>
      <w:bookmarkStart w:id="722" w:name="_Toc267251489"/>
      <w:r/>
      <w:bookmarkStart w:id="723" w:name="_Toc267251490"/>
      <w:r/>
      <w:bookmarkStart w:id="724" w:name="_Toc267251488"/>
      <w:r/>
      <w:bookmarkStart w:id="725" w:name="_Toc267251498"/>
      <w:r/>
      <w:bookmarkStart w:id="726" w:name="_Toc267251495"/>
      <w:r/>
      <w:bookmarkStart w:id="727" w:name="_Toc267251497"/>
      <w:r/>
      <w:bookmarkStart w:id="728" w:name="_Toc267251499"/>
      <w:r/>
      <w:bookmarkStart w:id="729" w:name="_Toc267251493"/>
      <w:r/>
      <w:bookmarkStart w:id="730" w:name="_Toc267251492"/>
      <w:r/>
      <w:bookmarkStart w:id="731" w:name="_Toc267251503"/>
      <w:r/>
      <w:bookmarkStart w:id="732" w:name="_Toc267251494"/>
      <w:r/>
      <w:bookmarkStart w:id="733" w:name="_Toc267251501"/>
      <w:r/>
      <w:bookmarkStart w:id="734" w:name="_Toc267251491"/>
      <w:r/>
      <w:bookmarkStart w:id="735" w:name="_Toc267251502"/>
      <w:r/>
      <w:bookmarkStart w:id="736" w:name="_Toc267251496"/>
      <w:r/>
      <w:bookmarkStart w:id="737" w:name="_Toc267251504"/>
      <w:r/>
      <w:bookmarkStart w:id="738" w:name="_Toc267251506"/>
      <w:r/>
      <w:bookmarkStart w:id="739" w:name="_Toc267251507"/>
      <w:r/>
      <w:bookmarkStart w:id="740" w:name="_Toc267251508"/>
      <w:r/>
      <w:bookmarkStart w:id="741" w:name="_Toc267251509"/>
      <w:r/>
      <w:bookmarkStart w:id="742" w:name="_Toc267251514"/>
      <w:r/>
      <w:bookmarkStart w:id="743" w:name="_Toc267251510"/>
      <w:r/>
      <w:bookmarkStart w:id="744" w:name="_Toc267251513"/>
      <w:r/>
      <w:bookmarkStart w:id="745" w:name="_Toc267251515"/>
      <w:r/>
      <w:bookmarkStart w:id="746" w:name="_Toc267251511"/>
      <w:r>
        <w:rPr>
          <w:rFonts w:hint="eastAsia" w:ascii="宋体" w:hAnsi="宋体" w:eastAsia="黑体"/>
          <w:b/>
          <w:bCs/>
          <w:color w:val="auto"/>
          <w:sz w:val="28"/>
          <w:highlight w:val="none"/>
        </w:rPr>
        <w:t xml:space="preserve">15. 缺陷责任期与保修</w:t>
      </w:r>
      <w:bookmarkEnd w:id="716"/>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15.2缺陷责任期</w:t>
      </w:r>
      <w:bookmarkEnd w:id="717"/>
      <w:r/>
      <w:r/>
    </w:p>
    <w:p>
      <w:pPr>
        <w:ind w:firstLine="420"/>
        <w:jc w:val="left"/>
        <w:spacing w:line="400" w:lineRule="exact"/>
        <w:rPr>
          <w:rFonts w:hint="eastAsia" w:ascii="宋体" w:hAnsi="宋体"/>
          <w:b/>
          <w:bCs/>
          <w:color w:val="auto"/>
          <w:szCs w:val="21"/>
          <w:highlight w:val="none"/>
        </w:rPr>
      </w:pPr>
      <w:r>
        <w:rPr>
          <w:rFonts w:hint="eastAsia" w:ascii="宋体" w:hAnsi="宋体"/>
          <w:color w:val="auto"/>
          <w:szCs w:val="21"/>
          <w:highlight w:val="none"/>
        </w:rPr>
        <w:t xml:space="preserve">缺陷责任期的具体期限：</w:t>
      </w:r>
      <w:r>
        <w:rPr>
          <w:rFonts w:hint="eastAsia" w:ascii="宋体" w:hAnsi="宋体"/>
          <w:color w:val="auto"/>
          <w:szCs w:val="21"/>
          <w:highlight w:val="none"/>
          <w:u w:val="single"/>
        </w:rPr>
        <w:t xml:space="preserve">24个月。</w:t>
      </w:r>
      <w:r/>
    </w:p>
    <w:p>
      <w:pPr>
        <w:ind w:firstLine="420"/>
        <w:spacing w:line="400" w:lineRule="exact"/>
        <w:rPr>
          <w:rFonts w:hint="eastAsia" w:ascii="宋体" w:hAnsi="宋体"/>
          <w:color w:val="auto"/>
          <w:szCs w:val="21"/>
          <w:highlight w:val="none"/>
        </w:rPr>
        <w:outlineLvl w:val="0"/>
      </w:pPr>
      <w:r/>
      <w:bookmarkStart w:id="747" w:name="_Toc28955"/>
      <w:r/>
      <w:bookmarkStart w:id="748" w:name="_Toc13284"/>
      <w:r>
        <w:rPr>
          <w:rFonts w:hint="eastAsia" w:ascii="宋体" w:hAnsi="宋体"/>
          <w:color w:val="auto"/>
          <w:szCs w:val="21"/>
          <w:highlight w:val="none"/>
        </w:rPr>
        <w:t xml:space="preserve">15.3 质量保证金</w:t>
      </w:r>
      <w:bookmarkEnd w:id="747"/>
      <w:r/>
      <w:bookmarkEnd w:id="748"/>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关于是否扣留质量保证金的约定：</w:t>
      </w:r>
      <w:r>
        <w:rPr>
          <w:rFonts w:hint="eastAsia" w:ascii="宋体" w:hAnsi="宋体"/>
          <w:color w:val="auto"/>
          <w:szCs w:val="21"/>
          <w:highlight w:val="none"/>
          <w:u w:val="single"/>
        </w:rPr>
        <w:t xml:space="preserve">    扣留      </w:t>
      </w:r>
      <w:r>
        <w:rPr>
          <w:rFonts w:hint="eastAsia" w:ascii="宋体" w:hAnsi="宋体"/>
          <w:color w:val="auto"/>
          <w:szCs w:val="21"/>
          <w:highlight w:val="none"/>
        </w:rPr>
        <w:t xml:space="preserve">。在工程项目竣工前，承包人按专用合同条款第3.7条提供履约担保的，发包人不得同时预留工程质量保证金。</w:t>
      </w:r>
      <w:r/>
    </w:p>
    <w:p>
      <w:pPr>
        <w:ind w:firstLine="420"/>
        <w:jc w:val="left"/>
        <w:spacing w:line="400" w:lineRule="exact"/>
        <w:rPr>
          <w:rFonts w:hint="eastAsia" w:ascii="宋体" w:hAnsi="宋体"/>
          <w:color w:val="auto"/>
          <w:szCs w:val="21"/>
          <w:highlight w:val="none"/>
        </w:rPr>
        <w:outlineLvl w:val="0"/>
      </w:pPr>
      <w:r/>
      <w:bookmarkStart w:id="749" w:name="_Toc948"/>
      <w:r/>
      <w:bookmarkStart w:id="750" w:name="_Toc11910"/>
      <w:r>
        <w:rPr>
          <w:rFonts w:hint="eastAsia" w:ascii="宋体" w:hAnsi="宋体"/>
          <w:color w:val="auto"/>
          <w:szCs w:val="21"/>
          <w:highlight w:val="none"/>
        </w:rPr>
        <w:t xml:space="preserve">15.3.1 承包人提供质量保证金的方式</w:t>
      </w:r>
      <w:bookmarkEnd w:id="749"/>
      <w:r/>
      <w:bookmarkEnd w:id="750"/>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质量保证金采用以下第</w:t>
      </w:r>
      <w:r>
        <w:rPr>
          <w:rFonts w:hint="eastAsia" w:ascii="宋体" w:hAnsi="宋体"/>
          <w:color w:val="auto"/>
          <w:szCs w:val="21"/>
          <w:highlight w:val="none"/>
          <w:u w:val="single"/>
        </w:rPr>
        <w:t xml:space="preserve"> 2</w:t>
      </w:r>
      <w:r>
        <w:rPr>
          <w:rFonts w:hint="eastAsia" w:ascii="宋体" w:hAnsi="宋体"/>
          <w:color w:val="auto"/>
          <w:szCs w:val="21"/>
          <w:highlight w:val="none"/>
        </w:rPr>
        <w:t xml:space="preserve">种方式：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（1）质量保证金保函，保证金额为：</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3</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%的工程款；</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（3）其他方式:</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outlineLvl w:val="0"/>
      </w:pPr>
      <w:r/>
      <w:bookmarkStart w:id="751" w:name="_Toc2503"/>
      <w:r/>
      <w:bookmarkStart w:id="752" w:name="_Toc15836"/>
      <w:r>
        <w:rPr>
          <w:rFonts w:hint="eastAsia" w:ascii="宋体" w:hAnsi="宋体"/>
          <w:color w:val="auto"/>
          <w:szCs w:val="21"/>
          <w:highlight w:val="none"/>
        </w:rPr>
        <w:t xml:space="preserve">15.3.2 质量保证金的扣留</w:t>
      </w:r>
      <w:bookmarkEnd w:id="751"/>
      <w:r/>
      <w:bookmarkEnd w:id="752"/>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质量保证金的扣留采取以下第</w:t>
      </w:r>
      <w:r>
        <w:rPr>
          <w:rFonts w:hint="eastAsia" w:ascii="宋体" w:hAnsi="宋体"/>
          <w:color w:val="auto"/>
          <w:szCs w:val="21"/>
          <w:highlight w:val="none"/>
          <w:u w:val="single"/>
        </w:rPr>
        <w:t xml:space="preserve">2</w:t>
      </w:r>
      <w:r>
        <w:rPr>
          <w:rFonts w:hint="eastAsia" w:ascii="宋体" w:hAnsi="宋体"/>
          <w:color w:val="auto"/>
          <w:szCs w:val="21"/>
          <w:highlight w:val="none"/>
        </w:rPr>
        <w:t xml:space="preserve">种方式：</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（1）在支付工程进度款时逐次扣留，在此情形下，质量保证金的计算基数不包括预付款的支付、扣回以及价格调整的金额；</w:t>
      </w:r>
      <w:r/>
    </w:p>
    <w:p>
      <w:pPr>
        <w:ind w:firstLine="420"/>
        <w:jc w:val="left"/>
        <w:spacing w:line="400" w:lineRule="exact"/>
        <w:rPr>
          <w:rFonts w:hint="eastAsia" w:ascii="宋体" w:hAnsi="宋体"/>
          <w:color w:val="auto"/>
          <w:szCs w:val="21"/>
          <w:highlight w:val="none"/>
        </w:rPr>
        <w:outlineLvl w:val="0"/>
      </w:pPr>
      <w:r/>
      <w:bookmarkStart w:id="753" w:name="_Toc22616"/>
      <w:r/>
      <w:bookmarkStart w:id="754" w:name="_Toc31848"/>
      <w:r>
        <w:rPr>
          <w:rFonts w:hint="eastAsia" w:ascii="宋体" w:hAnsi="宋体"/>
          <w:color w:val="auto"/>
          <w:szCs w:val="21"/>
          <w:highlight w:val="none"/>
        </w:rPr>
        <w:t xml:space="preserve">（2）退回履约保证金后，工程竣工结算时一次性扣留质量保证金；</w:t>
      </w:r>
      <w:bookmarkEnd w:id="753"/>
      <w:r/>
      <w:bookmarkEnd w:id="754"/>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（3）其他扣留方式:</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关于质量保证金的补充约定：</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bookmarkEnd w:id="718"/>
      <w:r/>
      <w:bookmarkEnd w:id="719"/>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15.4保修</w:t>
      </w:r>
      <w:bookmarkEnd w:id="720"/>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15.4.1 保修责任</w:t>
      </w:r>
      <w:r/>
    </w:p>
    <w:p>
      <w:pPr>
        <w:ind w:firstLine="409"/>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工程保修期为：</w:t>
      </w:r>
      <w:r>
        <w:rPr>
          <w:rFonts w:hint="eastAsia" w:ascii="宋体" w:hAnsi="宋体"/>
          <w:color w:val="auto"/>
          <w:szCs w:val="21"/>
          <w:highlight w:val="none"/>
          <w:u w:val="single"/>
        </w:rPr>
        <w:t xml:space="preserve">详见质量保修协议。</w:t>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15.4.3 修复通知</w:t>
      </w:r>
      <w:r/>
    </w:p>
    <w:p>
      <w:pPr>
        <w:ind w:firstLine="409"/>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承包人收到保修通知并到达工程现场的合理时间：</w:t>
      </w:r>
      <w:r>
        <w:rPr>
          <w:rFonts w:hint="eastAsia" w:ascii="宋体" w:hAnsi="宋体"/>
          <w:color w:val="auto"/>
          <w:szCs w:val="21"/>
          <w:highlight w:val="none"/>
          <w:u w:val="single"/>
        </w:rPr>
        <w:t xml:space="preserve">详见质量保修协议。</w:t>
      </w:r>
      <w:bookmarkEnd w:id="721"/>
      <w:r/>
      <w:bookmarkEnd w:id="722"/>
      <w:r/>
      <w:bookmarkEnd w:id="723"/>
      <w:r/>
      <w:bookmarkEnd w:id="724"/>
      <w:r/>
      <w:r/>
    </w:p>
    <w:p>
      <w:pPr>
        <w:keepLines/>
        <w:keepNext/>
        <w:spacing w:before="280" w:after="290" w:line="400" w:lineRule="exact"/>
        <w:rPr>
          <w:rFonts w:hint="eastAsia" w:ascii="宋体" w:hAnsi="宋体" w:eastAsia="黑体"/>
          <w:b/>
          <w:bCs/>
          <w:color w:val="auto"/>
          <w:sz w:val="28"/>
          <w:highlight w:val="none"/>
        </w:rPr>
        <w:outlineLvl w:val="3"/>
      </w:pPr>
      <w:r/>
      <w:bookmarkStart w:id="755" w:name="_Toc351203648"/>
      <w:r/>
      <w:bookmarkStart w:id="756" w:name="_Toc280868717"/>
      <w:r/>
      <w:bookmarkStart w:id="757" w:name="_Toc280868718"/>
      <w:r>
        <w:rPr>
          <w:rFonts w:hint="eastAsia" w:ascii="宋体" w:hAnsi="宋体" w:eastAsia="黑体"/>
          <w:b/>
          <w:bCs/>
          <w:color w:val="auto"/>
          <w:sz w:val="28"/>
          <w:highlight w:val="none"/>
        </w:rPr>
        <w:t xml:space="preserve">16. 违约</w:t>
      </w:r>
      <w:bookmarkEnd w:id="755"/>
      <w:r/>
      <w:r/>
    </w:p>
    <w:p>
      <w:pPr>
        <w:ind w:firstLine="420"/>
        <w:spacing w:line="400" w:lineRule="exact"/>
        <w:rPr>
          <w:rFonts w:hint="eastAsia" w:ascii="宋体" w:hAnsi="宋体"/>
          <w:color w:val="auto"/>
          <w:szCs w:val="21"/>
          <w:highlight w:val="none"/>
        </w:rPr>
        <w:outlineLvl w:val="0"/>
      </w:pPr>
      <w:r/>
      <w:bookmarkStart w:id="758" w:name="_Toc6824"/>
      <w:r/>
      <w:bookmarkStart w:id="759" w:name="_Toc7389"/>
      <w:r>
        <w:rPr>
          <w:rFonts w:hint="eastAsia" w:ascii="宋体" w:hAnsi="宋体"/>
          <w:color w:val="auto"/>
          <w:szCs w:val="21"/>
          <w:highlight w:val="none"/>
        </w:rPr>
        <w:t xml:space="preserve">16.1 发包人违约</w:t>
      </w:r>
      <w:bookmarkEnd w:id="758"/>
      <w:r/>
      <w:bookmarkEnd w:id="759"/>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16.1.1发包人违约的情形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发包人违约的其他情形：</w:t>
      </w:r>
      <w:r>
        <w:rPr>
          <w:rFonts w:hint="eastAsia" w:ascii="宋体" w:hAnsi="宋体"/>
          <w:color w:val="auto"/>
          <w:szCs w:val="21"/>
          <w:highlight w:val="none"/>
          <w:u w:val="single"/>
        </w:rPr>
        <w:t xml:space="preserve">  / </w:t>
      </w:r>
      <w:r>
        <w:rPr>
          <w:rFonts w:hint="eastAsia" w:ascii="宋体" w:hAnsi="宋体"/>
          <w:color w:val="auto"/>
          <w:szCs w:val="21"/>
          <w:highlight w:val="none"/>
        </w:rPr>
        <w:t xml:space="preserve">。</w:t>
      </w:r>
      <w:r/>
    </w:p>
    <w:p>
      <w:pPr>
        <w:ind w:left="1050" w:hanging="105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    16.1.2 发包人违约的责任</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发包人违约责任的承担方式和计算方法：</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（1）因发包人原因未能在计划开工日期前7天内下达开工通知的违约责任：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（2）因发包人原因未能按合同约定支付合同价款的违约责任：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（3）发包人违反第10.1款〔变更的范围〕第（2）项约定，自行实施被取消的工作或转由他人实施的违约责任：</w:t>
      </w:r>
      <w:r>
        <w:rPr>
          <w:rFonts w:hint="eastAsia" w:ascii="宋体" w:hAnsi="宋体"/>
          <w:color w:val="auto"/>
          <w:szCs w:val="21"/>
          <w:highlight w:val="none"/>
          <w:u w:val="single"/>
        </w:rPr>
        <w:t xml:space="preserve">发包人有权根据实际情况增减部分工程量，承包人对此不提出索赔</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（5）因发包人违反合同约定造成暂停施工的违约责任：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（6）发包人无正当理由没有在约定期限内发出复工指示，导致承包人无法复工的违约责任：</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（7）其他：</w:t>
      </w:r>
      <w:r>
        <w:rPr>
          <w:rFonts w:hint="eastAsia" w:ascii="宋体" w:hAnsi="宋体"/>
          <w:color w:val="auto"/>
          <w:szCs w:val="21"/>
          <w:highlight w:val="none"/>
          <w:u w:val="single"/>
        </w:rPr>
        <w:t xml:space="preserve">/</w:t>
      </w:r>
      <w:r>
        <w:rPr>
          <w:rFonts w:hint="eastAsia" w:ascii="宋体" w:hAnsi="宋体"/>
          <w:color w:val="auto"/>
          <w:szCs w:val="21"/>
          <w:highlight w:val="none"/>
        </w:rPr>
        <w:t xml:space="preserve">。</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16.1.3 因发包人违约解除合同</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承包人按16.1.1项〔发包人违约的情形〕约定暂停施工满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天后发包人仍不纠正其违约行为并致使合同目的不能实现的，承包人有权解除合同。</w:t>
      </w:r>
      <w:r/>
    </w:p>
    <w:p>
      <w:pPr>
        <w:ind w:firstLine="420"/>
        <w:spacing w:line="400" w:lineRule="exact"/>
        <w:rPr>
          <w:rFonts w:hint="eastAsia" w:ascii="宋体" w:hAnsi="宋体"/>
          <w:color w:val="auto"/>
          <w:szCs w:val="21"/>
          <w:highlight w:val="none"/>
        </w:rPr>
        <w:outlineLvl w:val="0"/>
      </w:pPr>
      <w:r/>
      <w:bookmarkStart w:id="760" w:name="_Toc2832"/>
      <w:r/>
      <w:bookmarkStart w:id="761" w:name="_Toc3950"/>
      <w:r>
        <w:rPr>
          <w:rFonts w:hint="eastAsia" w:ascii="宋体" w:hAnsi="宋体"/>
          <w:color w:val="auto"/>
          <w:szCs w:val="21"/>
          <w:highlight w:val="none"/>
        </w:rPr>
        <w:t xml:space="preserve">16.2 承包人违约</w:t>
      </w:r>
      <w:bookmarkEnd w:id="760"/>
      <w:r/>
      <w:bookmarkEnd w:id="761"/>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16.2.1 承包人违约的情形</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承包人违约的其他情形：</w:t>
      </w:r>
      <w:r>
        <w:rPr>
          <w:rFonts w:hint="eastAsia" w:ascii="宋体" w:hAnsi="宋体"/>
          <w:color w:val="auto"/>
          <w:szCs w:val="21"/>
          <w:highlight w:val="none"/>
          <w:u w:val="single"/>
        </w:rPr>
        <w:t xml:space="preserve">按本合同16.2.2条及其它条款的约定。</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16.2.2承包人违约的责任</w:t>
      </w:r>
      <w:r/>
    </w:p>
    <w:p>
      <w:pPr>
        <w:ind w:firstLine="420"/>
        <w:jc w:val="left"/>
        <w:spacing w:line="400" w:lineRule="exact"/>
        <w:widowControl/>
        <w:rPr>
          <w:rFonts w:hint="eastAsia" w:ascii="宋体" w:hAnsi="宋体"/>
          <w:color w:val="auto"/>
          <w:szCs w:val="21"/>
          <w:highlight w:val="none"/>
        </w:rPr>
      </w:pPr>
      <w:r>
        <w:rPr>
          <w:rFonts w:hint="eastAsia" w:ascii="宋体" w:hAnsi="宋体"/>
          <w:color w:val="auto"/>
          <w:szCs w:val="21"/>
          <w:highlight w:val="none"/>
        </w:rPr>
        <w:t xml:space="preserve">承包人违约责任的承担方式和计算方法：</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1.承包人明确表示或者以其行为表明不</w:t>
      </w:r>
      <w:r>
        <w:rPr>
          <w:rFonts w:hint="eastAsia" w:ascii="宋体" w:hAnsi="宋体"/>
          <w:color w:val="auto"/>
          <w:szCs w:val="21"/>
          <w:highlight w:val="none"/>
          <w:u w:val="single"/>
        </w:rPr>
        <w:t xml:space="preserve">履行合同主要义务的违约责任：工程施工期间，承包人未按工程师确认的进度计划施工且在工程师通知要求的期限内整改赶不上进度计划的，或因承包人原因造成暂停施工7天以上不能复工的，或经工程师通知复工而承包人拒绝复工达7天以上的，或承包人擅自停工5天以上的，以及本合同约定承包人行为表明不履行合同的其他情形，发包人均有权认为承包人的行为已不能实现合同目的而解除合同，有权没收全部的履约保证金，承包人已完成的工程量价款不予结算和支付，且发包人有权另行落实施工单位继续施工，而无需对承包人已完成的工程量进行固定，承包人自行撤场。</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2.合同约定的工程施工管理和工程结算审核、工程交付使用中的扣罚款应由双方当场及时履行，承包人不履行的发包人有权要求停止施工或在履约保证金中或在支付工程款时按扣罚额的双倍扣除。</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3.承包人违反合同约定进行转包或违法分包的违约责任：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4.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5.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1-3万元的违约金，每发生一起重大质量事故，承包人除接受政府相关部门的处罚外，还应向发包人承担10万元的违约金。同时，承包人应无条件返工至合格并采取措施清除不良影响。</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6.承包人违反第8.9款[材料与设备专用于工程]的约定，未经批准，私自将已按照合同约定进入施工现场的材料或设备撤离施工现场的违约责任：由承包人重新运回或采购并承担所有损失，工期不予顺延，同时按壹万元/次罚款。</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7.承包人未能按施工进度计划及时完成合同约定的工作，造成工期延误的违约责任：按7.5条约定 。</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8.承包人在缺陷责任期及保修期内，未能在合理期限对工程缺陷进行修复，或拒绝按发包人要求进行修复的违约责任：发包人两次通知未到场处置或维修，由发包人另行派人维修，按发生维修费用的三倍从保修金中扣除。</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9.承包人未能按照合同约定履行其他义务的违约责任：</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2"/>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③承包人要做到减少噪音及环境污染，文明施工达标，如因承包人原因导致工地在市、区检查中被评为不合格工地的，按每有一起罚款4000元。</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④承包人在施工过程中，如有以下情形，发包人可对承包人直接处以200～2000元的罚款：A：施工期间工程资料不能及时到位的；B：隐蔽部位不经验收通过就进行下一道工序的；C：不论以何种形式被发现偷工减料、以次充好的；D：不按施工图及设计规范的要求，擅自施工的；E：安全文明生产措施不到位。</w:t>
      </w:r>
      <w:r/>
    </w:p>
    <w:p>
      <w:pPr>
        <w:ind w:firstLine="420"/>
        <w:jc w:val="left"/>
        <w:spacing w:line="400" w:lineRule="exact"/>
        <w:rPr>
          <w:rFonts w:hint="eastAsia" w:ascii="宋体" w:hAnsi="宋体"/>
          <w:color w:val="auto"/>
          <w:szCs w:val="21"/>
          <w:highlight w:val="none"/>
          <w:u w:val="single"/>
        </w:rPr>
      </w:pPr>
      <w:r>
        <w:rPr>
          <w:rFonts w:hint="eastAsia" w:ascii="宋体" w:hAnsi="宋体"/>
          <w:color w:val="auto"/>
          <w:szCs w:val="21"/>
          <w:highlight w:val="none"/>
          <w:u w:val="single"/>
        </w:rPr>
        <w:t xml:space="preserve">⑤施工过程中，因承包人施工原因，而造成煤气、自来水管道、雨污分流管等受到破坏的，除承包人须按规定修复或承担相应修复费用外，发包人可对承包人处以2000元/次处罚，并承担一切责任。   </w:t>
      </w:r>
      <w:r>
        <w:rPr>
          <w:rFonts w:hint="eastAsia" w:ascii="宋体" w:hAnsi="宋体"/>
          <w:color w:val="auto"/>
          <w:szCs w:val="21"/>
          <w:highlight w:val="none"/>
        </w:rPr>
        <w:t xml:space="preserve">    </w:t>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16.2.3 因承包人违约解除合同</w:t>
      </w:r>
      <w:r/>
    </w:p>
    <w:p>
      <w:pPr>
        <w:ind w:firstLine="420"/>
        <w:jc w:val="left"/>
        <w:spacing w:line="40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关于承包人违约解除合同的特别约定：</w:t>
      </w:r>
      <w:r>
        <w:rPr>
          <w:rFonts w:hint="eastAsia" w:ascii="宋体" w:hAnsi="宋体"/>
          <w:color w:val="auto"/>
          <w:szCs w:val="21"/>
          <w:highlight w:val="none"/>
          <w:u w:val="single"/>
        </w:rPr>
        <w:t xml:space="preserve">任何一方依约依法解除合同后，承包人均应在解除合同之日起7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70%计价结算，承包人放弃任何损失赔偿。其它条款对合同解除有特别约定的，从其特别约定。</w:t>
      </w:r>
      <w:r/>
    </w:p>
    <w:p>
      <w:pPr>
        <w:ind w:firstLine="420"/>
        <w:spacing w:line="380" w:lineRule="exact"/>
        <w:rPr>
          <w:rFonts w:hint="eastAsia" w:ascii="宋体" w:hAnsi="宋体"/>
          <w:color w:val="auto"/>
          <w:szCs w:val="21"/>
          <w:highlight w:val="none"/>
        </w:rPr>
      </w:pPr>
      <w:r>
        <w:rPr>
          <w:rFonts w:hint="eastAsia" w:ascii="宋体" w:hAnsi="宋体"/>
          <w:color w:val="auto"/>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olor w:val="auto"/>
          <w:szCs w:val="21"/>
          <w:highlight w:val="none"/>
          <w:u w:val="single"/>
        </w:rPr>
        <w:t xml:space="preserve">不计费用</w:t>
      </w:r>
      <w:r>
        <w:rPr>
          <w:rFonts w:hint="eastAsia" w:ascii="宋体" w:hAnsi="宋体"/>
          <w:color w:val="auto"/>
          <w:szCs w:val="21"/>
          <w:highlight w:val="none"/>
        </w:rPr>
        <w:t xml:space="preserve">。</w:t>
      </w:r>
      <w:r/>
    </w:p>
    <w:p>
      <w:pPr>
        <w:keepLines/>
        <w:keepNext/>
        <w:spacing w:before="120" w:after="120" w:line="380" w:lineRule="exact"/>
        <w:rPr>
          <w:rFonts w:hint="eastAsia" w:ascii="宋体" w:hAnsi="宋体" w:eastAsia="黑体"/>
          <w:b/>
          <w:bCs/>
          <w:color w:val="auto"/>
          <w:sz w:val="28"/>
          <w:highlight w:val="none"/>
        </w:rPr>
        <w:outlineLvl w:val="3"/>
      </w:pPr>
      <w:r/>
      <w:bookmarkStart w:id="762" w:name="_Toc351203649"/>
      <w:r>
        <w:rPr>
          <w:rFonts w:hint="eastAsia" w:ascii="宋体" w:hAnsi="宋体" w:eastAsia="黑体"/>
          <w:b/>
          <w:bCs/>
          <w:color w:val="auto"/>
          <w:sz w:val="28"/>
          <w:highlight w:val="none"/>
        </w:rPr>
        <w:t xml:space="preserve">17. 不可抗力</w:t>
      </w:r>
      <w:bookmarkEnd w:id="762"/>
      <w:r>
        <w:rPr>
          <w:rFonts w:hint="eastAsia" w:ascii="宋体" w:hAnsi="宋体" w:eastAsia="黑体"/>
          <w:b/>
          <w:bCs/>
          <w:color w:val="auto"/>
          <w:sz w:val="28"/>
          <w:highlight w:val="none"/>
        </w:rPr>
        <w:t xml:space="preserve"> </w:t>
      </w:r>
      <w:bookmarkEnd w:id="756"/>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17.1 不可抗力的确认</w:t>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除通用合同条款约定的不可抗力事件之外，视为不可抗力的其他情形：</w:t>
      </w:r>
      <w:r>
        <w:rPr>
          <w:rFonts w:hint="eastAsia" w:ascii="宋体" w:hAnsi="宋体"/>
          <w:color w:val="auto"/>
          <w:szCs w:val="21"/>
          <w:highlight w:val="none"/>
          <w:u w:val="single"/>
        </w:rPr>
        <w:t xml:space="preserve">由市级以上有关部门正式发布和认定的自然灾害。</w:t>
      </w:r>
      <w:r/>
    </w:p>
    <w:p>
      <w:pPr>
        <w:ind w:firstLine="420"/>
        <w:spacing w:after="120" w:line="380" w:lineRule="exact"/>
        <w:rPr>
          <w:rFonts w:hint="eastAsia" w:ascii="宋体" w:hAnsi="宋体"/>
          <w:color w:val="auto"/>
          <w:szCs w:val="21"/>
          <w:highlight w:val="none"/>
        </w:rPr>
        <w:outlineLvl w:val="0"/>
      </w:pPr>
      <w:r/>
      <w:bookmarkStart w:id="763" w:name="_Toc27838"/>
      <w:r/>
      <w:bookmarkStart w:id="764" w:name="_Toc26145"/>
      <w:r>
        <w:rPr>
          <w:rFonts w:hint="eastAsia" w:ascii="宋体" w:hAnsi="宋体"/>
          <w:color w:val="auto"/>
          <w:szCs w:val="21"/>
          <w:highlight w:val="none"/>
        </w:rPr>
        <w:t xml:space="preserve">17.4 因不可抗力解除合同</w:t>
      </w:r>
      <w:bookmarkEnd w:id="763"/>
      <w:r/>
      <w:bookmarkEnd w:id="764"/>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合同解除后，发包人应在商定或确定发包人应支付款项后</w:t>
      </w:r>
      <w:r>
        <w:rPr>
          <w:rFonts w:hint="eastAsia" w:ascii="宋体" w:hAnsi="宋体"/>
          <w:color w:val="auto"/>
          <w:szCs w:val="21"/>
          <w:highlight w:val="none"/>
          <w:u w:val="single"/>
        </w:rPr>
        <w:t xml:space="preserve">60</w:t>
      </w:r>
      <w:r>
        <w:rPr>
          <w:rFonts w:hint="eastAsia" w:ascii="宋体" w:hAnsi="宋体"/>
          <w:color w:val="auto"/>
          <w:szCs w:val="21"/>
          <w:highlight w:val="none"/>
        </w:rPr>
        <w:t xml:space="preserve">天内完成款项的支付。</w:t>
      </w:r>
      <w:r/>
    </w:p>
    <w:p>
      <w:pPr>
        <w:keepLines/>
        <w:keepNext/>
        <w:spacing w:before="120" w:after="120" w:line="380" w:lineRule="exact"/>
        <w:rPr>
          <w:rFonts w:hint="eastAsia" w:ascii="宋体" w:hAnsi="宋体" w:eastAsia="黑体"/>
          <w:b/>
          <w:bCs/>
          <w:color w:val="auto"/>
          <w:sz w:val="28"/>
          <w:highlight w:val="none"/>
        </w:rPr>
        <w:outlineLvl w:val="3"/>
      </w:pPr>
      <w:r/>
      <w:bookmarkStart w:id="765" w:name="_Toc351203650"/>
      <w:r>
        <w:rPr>
          <w:rFonts w:hint="eastAsia" w:ascii="宋体" w:hAnsi="宋体" w:eastAsia="黑体"/>
          <w:b/>
          <w:bCs/>
          <w:color w:val="auto"/>
          <w:sz w:val="28"/>
          <w:highlight w:val="none"/>
        </w:rPr>
        <w:t xml:space="preserve">18. 保险</w:t>
      </w:r>
      <w:bookmarkEnd w:id="765"/>
      <w:r/>
      <w:bookmarkEnd w:id="757"/>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18.1 工程保险</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rPr>
        <w:t xml:space="preserve">关于工程保险的特别约定：</w:t>
      </w:r>
      <w:r>
        <w:rPr>
          <w:rFonts w:hint="eastAsia" w:ascii="宋体" w:hAnsi="宋体"/>
          <w:color w:val="auto"/>
          <w:szCs w:val="21"/>
          <w:highlight w:val="none"/>
          <w:u w:val="single"/>
        </w:rPr>
        <w:t xml:space="preserve">发包人投保内容： 建设工程和施工场地内的自有人员生命财产险 。</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发包人委托承包人办理的保险事项：         /          。</w:t>
      </w:r>
      <w:r/>
    </w:p>
    <w:p>
      <w:pPr>
        <w:ind w:firstLine="420"/>
        <w:jc w:val="left"/>
        <w:spacing w:line="380" w:lineRule="exact"/>
        <w:widowControl/>
        <w:rPr>
          <w:rFonts w:hint="eastAsia" w:ascii="宋体" w:hAnsi="宋体"/>
          <w:color w:val="auto"/>
          <w:szCs w:val="21"/>
          <w:highlight w:val="none"/>
          <w:u w:val="single"/>
        </w:rPr>
      </w:pPr>
      <w:r>
        <w:rPr>
          <w:rFonts w:hint="eastAsia" w:ascii="宋体" w:hAnsi="宋体"/>
          <w:color w:val="auto"/>
          <w:szCs w:val="21"/>
          <w:highlight w:val="none"/>
          <w:u w:val="single"/>
        </w:rPr>
        <w:t xml:space="preserve">承包人投保内容：从事危险作业职工的意外伤害险、施工场地内自有人员的生命财产险、施工机械设备的财产险、第三方人员的生命财产险、运至施工场地内用于工程的材料和待安装设备的财产险。</w:t>
      </w:r>
      <w:r/>
    </w:p>
    <w:p>
      <w:pPr>
        <w:ind w:firstLine="420"/>
        <w:spacing w:line="380" w:lineRule="exact"/>
        <w:rPr>
          <w:rFonts w:hint="eastAsia" w:ascii="宋体" w:hAnsi="宋体"/>
          <w:color w:val="auto"/>
          <w:szCs w:val="21"/>
          <w:highlight w:val="none"/>
        </w:rPr>
        <w:outlineLvl w:val="0"/>
      </w:pPr>
      <w:r/>
      <w:bookmarkStart w:id="766" w:name="_Toc6428"/>
      <w:r/>
      <w:bookmarkStart w:id="767" w:name="_Toc20373"/>
      <w:r>
        <w:rPr>
          <w:rFonts w:hint="eastAsia" w:ascii="宋体" w:hAnsi="宋体"/>
          <w:color w:val="auto"/>
          <w:szCs w:val="21"/>
          <w:highlight w:val="none"/>
        </w:rPr>
        <w:t xml:space="preserve">18.3 其他保险</w:t>
      </w:r>
      <w:bookmarkEnd w:id="766"/>
      <w:r/>
      <w:bookmarkEnd w:id="767"/>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关于其他保险的约定：</w:t>
      </w:r>
      <w:r>
        <w:rPr>
          <w:rFonts w:hint="eastAsia" w:ascii="宋体" w:hAnsi="宋体"/>
          <w:color w:val="auto"/>
          <w:szCs w:val="21"/>
          <w:highlight w:val="none"/>
          <w:u w:val="single"/>
        </w:rPr>
        <w:t xml:space="preserve">各自办理 </w:t>
      </w:r>
      <w:r>
        <w:rPr>
          <w:rFonts w:hint="eastAsia" w:ascii="宋体" w:hAnsi="宋体"/>
          <w:color w:val="auto"/>
          <w:szCs w:val="21"/>
          <w:highlight w:val="none"/>
        </w:rPr>
        <w:t xml:space="preserve">。</w:t>
      </w:r>
      <w:r/>
    </w:p>
    <w:p>
      <w:pPr>
        <w:ind w:firstLine="420"/>
        <w:spacing w:line="380" w:lineRule="exact"/>
        <w:rPr>
          <w:rFonts w:hint="eastAsia" w:ascii="宋体" w:hAnsi="宋体"/>
          <w:color w:val="auto"/>
          <w:szCs w:val="21"/>
          <w:highlight w:val="none"/>
          <w:u w:val="single"/>
        </w:rPr>
        <w:outlineLvl w:val="0"/>
      </w:pPr>
      <w:r/>
      <w:bookmarkStart w:id="768" w:name="_Toc21525"/>
      <w:r/>
      <w:bookmarkStart w:id="769" w:name="_Toc26533"/>
      <w:r>
        <w:rPr>
          <w:rFonts w:hint="eastAsia" w:ascii="宋体" w:hAnsi="宋体"/>
          <w:color w:val="auto"/>
          <w:szCs w:val="21"/>
          <w:highlight w:val="none"/>
        </w:rPr>
        <w:t xml:space="preserve">承包人是否应为其施工设备等办理财产保险：</w:t>
      </w:r>
      <w:r>
        <w:rPr>
          <w:rFonts w:hint="eastAsia" w:ascii="宋体" w:hAnsi="宋体"/>
          <w:color w:val="auto"/>
          <w:szCs w:val="21"/>
          <w:highlight w:val="none"/>
          <w:u w:val="single"/>
        </w:rPr>
        <w:t xml:space="preserve">按通用条款执行。</w:t>
      </w:r>
      <w:bookmarkEnd w:id="768"/>
      <w:r/>
      <w:bookmarkEnd w:id="769"/>
      <w:r/>
      <w:r/>
    </w:p>
    <w:p>
      <w:pPr>
        <w:ind w:firstLine="420"/>
        <w:spacing w:line="380" w:lineRule="exact"/>
        <w:rPr>
          <w:rFonts w:hint="eastAsia" w:ascii="宋体" w:hAnsi="宋体"/>
          <w:color w:val="auto"/>
          <w:szCs w:val="21"/>
          <w:highlight w:val="none"/>
        </w:rPr>
        <w:outlineLvl w:val="0"/>
      </w:pPr>
      <w:r/>
      <w:bookmarkStart w:id="770" w:name="_Toc1569"/>
      <w:r/>
      <w:bookmarkStart w:id="771" w:name="_Toc25177"/>
      <w:r>
        <w:rPr>
          <w:rFonts w:hint="eastAsia" w:ascii="宋体" w:hAnsi="宋体"/>
          <w:color w:val="auto"/>
          <w:szCs w:val="21"/>
          <w:highlight w:val="none"/>
        </w:rPr>
        <w:t xml:space="preserve">18.7 通知义务</w:t>
      </w:r>
      <w:bookmarkEnd w:id="770"/>
      <w:r/>
      <w:bookmarkEnd w:id="771"/>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关于变更保险合同时的通知义务的约定：</w:t>
      </w:r>
      <w:r>
        <w:rPr>
          <w:rFonts w:hint="eastAsia" w:ascii="宋体" w:hAnsi="宋体"/>
          <w:color w:val="auto"/>
          <w:szCs w:val="21"/>
          <w:highlight w:val="none"/>
          <w:u w:val="single"/>
        </w:rPr>
        <w:t xml:space="preserve">按通用条款执行。</w:t>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
    </w:p>
    <w:p>
      <w:pPr>
        <w:keepLines/>
        <w:keepNext/>
        <w:spacing w:before="280" w:after="290" w:line="380" w:lineRule="exact"/>
        <w:rPr>
          <w:rFonts w:hint="eastAsia" w:ascii="宋体" w:hAnsi="宋体" w:eastAsia="黑体"/>
          <w:b/>
          <w:bCs/>
          <w:color w:val="auto"/>
          <w:sz w:val="28"/>
          <w:highlight w:val="none"/>
        </w:rPr>
        <w:outlineLvl w:val="3"/>
      </w:pPr>
      <w:r/>
      <w:bookmarkStart w:id="772" w:name="_Toc351203651"/>
      <w:r>
        <w:rPr>
          <w:rFonts w:hint="eastAsia" w:ascii="宋体" w:hAnsi="宋体" w:eastAsia="黑体"/>
          <w:b/>
          <w:bCs/>
          <w:color w:val="auto"/>
          <w:sz w:val="28"/>
          <w:highlight w:val="none"/>
        </w:rPr>
        <w:t xml:space="preserve">20. 争议解决</w:t>
      </w:r>
      <w:bookmarkEnd w:id="772"/>
      <w:r/>
      <w:bookmarkEnd w:id="737"/>
      <w:r/>
      <w:bookmarkEnd w:id="738"/>
      <w:r/>
      <w:r/>
    </w:p>
    <w:p>
      <w:pPr>
        <w:ind w:firstLine="420"/>
        <w:spacing w:line="380" w:lineRule="exact"/>
        <w:rPr>
          <w:rFonts w:hint="eastAsia" w:ascii="宋体" w:hAnsi="宋体"/>
          <w:color w:val="auto"/>
          <w:szCs w:val="21"/>
          <w:highlight w:val="none"/>
        </w:rPr>
        <w:outlineLvl w:val="0"/>
      </w:pPr>
      <w:r/>
      <w:bookmarkStart w:id="773" w:name="_Toc27397"/>
      <w:r/>
      <w:bookmarkStart w:id="774" w:name="_Toc24068"/>
      <w:r>
        <w:rPr>
          <w:rFonts w:hint="eastAsia" w:ascii="宋体" w:hAnsi="宋体"/>
          <w:color w:val="auto"/>
          <w:szCs w:val="21"/>
          <w:highlight w:val="none"/>
        </w:rPr>
        <w:t xml:space="preserve">20.3 争</w:t>
      </w:r>
      <w:bookmarkEnd w:id="739"/>
      <w:r>
        <w:rPr>
          <w:rFonts w:hint="eastAsia" w:ascii="宋体" w:hAnsi="宋体"/>
          <w:color w:val="auto"/>
          <w:szCs w:val="21"/>
          <w:highlight w:val="none"/>
        </w:rPr>
        <w:t xml:space="preserve">议评审</w:t>
      </w:r>
      <w:bookmarkEnd w:id="773"/>
      <w:r/>
      <w:bookmarkEnd w:id="774"/>
      <w:r/>
      <w:r/>
    </w:p>
    <w:p>
      <w:pPr>
        <w:ind w:left="149" w:firstLine="315"/>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合同当事人是否同意将工程争议提交争议评审小组决定：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420"/>
        <w:jc w:val="left"/>
        <w:spacing w:line="380" w:lineRule="exact"/>
        <w:rPr>
          <w:rFonts w:hint="eastAsia" w:ascii="宋体" w:hAnsi="宋体"/>
          <w:color w:val="auto"/>
          <w:szCs w:val="21"/>
          <w:highlight w:val="none"/>
        </w:rPr>
        <w:outlineLvl w:val="0"/>
      </w:pPr>
      <w:r/>
      <w:bookmarkStart w:id="775" w:name="_Toc19033"/>
      <w:r/>
      <w:bookmarkStart w:id="776" w:name="_Toc8050"/>
      <w:r>
        <w:rPr>
          <w:rFonts w:hint="eastAsia" w:ascii="宋体" w:hAnsi="宋体"/>
          <w:color w:val="auto"/>
          <w:szCs w:val="21"/>
          <w:highlight w:val="none"/>
        </w:rPr>
        <w:t xml:space="preserve">20.3.1 争议评审小组的确定</w:t>
      </w:r>
      <w:bookmarkEnd w:id="775"/>
      <w:r/>
      <w:bookmarkEnd w:id="776"/>
      <w:r/>
      <w:r/>
    </w:p>
    <w:p>
      <w:pPr>
        <w:ind w:firstLine="420"/>
        <w:jc w:val="left"/>
        <w:spacing w:line="380" w:lineRule="exact"/>
        <w:rPr>
          <w:rFonts w:hint="eastAsia" w:ascii="宋体" w:hAnsi="宋体"/>
          <w:color w:val="auto"/>
          <w:szCs w:val="21"/>
          <w:highlight w:val="none"/>
          <w:u w:val="single"/>
        </w:rPr>
      </w:pPr>
      <w:r>
        <w:rPr>
          <w:rFonts w:hint="eastAsia" w:ascii="宋体" w:hAnsi="宋体"/>
          <w:color w:val="auto"/>
          <w:szCs w:val="21"/>
          <w:highlight w:val="none"/>
        </w:rPr>
        <w:t xml:space="preserve">争议评审小组成员的确定：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选定争议评审员的期限：</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争议评审小组成员的报酬承担方式：</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其他事项的约定：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jc w:val="left"/>
        <w:spacing w:line="380" w:lineRule="exact"/>
        <w:rPr>
          <w:rFonts w:hint="eastAsia" w:ascii="宋体" w:hAnsi="宋体"/>
          <w:color w:val="auto"/>
          <w:szCs w:val="21"/>
          <w:highlight w:val="none"/>
        </w:rPr>
        <w:outlineLvl w:val="0"/>
      </w:pPr>
      <w:r/>
      <w:bookmarkStart w:id="777" w:name="_Toc7245"/>
      <w:r/>
      <w:bookmarkStart w:id="778" w:name="_Toc16204"/>
      <w:r>
        <w:rPr>
          <w:rFonts w:hint="eastAsia" w:ascii="宋体" w:hAnsi="宋体"/>
          <w:color w:val="auto"/>
          <w:szCs w:val="21"/>
          <w:highlight w:val="none"/>
        </w:rPr>
        <w:t xml:space="preserve">20.3.2 争议评审小组的决定</w:t>
      </w:r>
      <w:bookmarkEnd w:id="777"/>
      <w:r/>
      <w:bookmarkEnd w:id="778"/>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合同当事人关于本项的约定：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ind w:firstLine="420"/>
        <w:spacing w:after="120" w:line="380" w:lineRule="exact"/>
        <w:rPr>
          <w:rFonts w:hint="eastAsia" w:ascii="宋体" w:hAnsi="宋体"/>
          <w:color w:val="auto"/>
          <w:szCs w:val="21"/>
          <w:highlight w:val="none"/>
        </w:rPr>
        <w:outlineLvl w:val="0"/>
      </w:pPr>
      <w:r/>
      <w:bookmarkStart w:id="779" w:name="_Toc19719"/>
      <w:r/>
      <w:bookmarkStart w:id="780" w:name="_Toc27345"/>
      <w:r>
        <w:rPr>
          <w:rFonts w:hint="eastAsia" w:ascii="宋体" w:hAnsi="宋体"/>
          <w:color w:val="auto"/>
          <w:szCs w:val="21"/>
          <w:highlight w:val="none"/>
        </w:rPr>
        <w:t xml:space="preserve">20.4仲裁或诉讼</w:t>
      </w:r>
      <w:bookmarkEnd w:id="740"/>
      <w:r/>
      <w:bookmarkEnd w:id="779"/>
      <w:r/>
      <w:bookmarkEnd w:id="780"/>
      <w:r/>
      <w:r/>
    </w:p>
    <w:p>
      <w:pPr>
        <w:ind w:firstLine="420"/>
        <w:spacing w:after="120" w:line="380" w:lineRule="exact"/>
        <w:rPr>
          <w:rFonts w:hint="eastAsia" w:ascii="宋体" w:hAnsi="宋体"/>
          <w:color w:val="auto"/>
          <w:szCs w:val="21"/>
          <w:highlight w:val="none"/>
        </w:rPr>
      </w:pPr>
      <w:r>
        <w:rPr>
          <w:rFonts w:hint="eastAsia" w:ascii="宋体" w:hAnsi="宋体"/>
          <w:color w:val="auto"/>
          <w:szCs w:val="21"/>
          <w:highlight w:val="none"/>
        </w:rPr>
        <w:t xml:space="preserve">因合同及合同有关事项发生的争议，按下列第</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种方式解决：</w:t>
      </w:r>
      <w:r/>
    </w:p>
    <w:p>
      <w:pPr>
        <w:ind w:firstLine="420"/>
        <w:jc w:val="left"/>
        <w:spacing w:line="380" w:lineRule="exact"/>
        <w:rPr>
          <w:rFonts w:hint="eastAsia" w:ascii="宋体" w:hAnsi="宋体"/>
          <w:color w:val="auto"/>
          <w:szCs w:val="21"/>
          <w:highlight w:val="none"/>
        </w:rPr>
      </w:pPr>
      <w:r>
        <w:rPr>
          <w:rFonts w:hint="eastAsia" w:ascii="宋体" w:hAnsi="宋体"/>
          <w:color w:val="auto"/>
          <w:szCs w:val="21"/>
          <w:highlight w:val="none"/>
        </w:rPr>
        <w:t xml:space="preserve">（1）向仲裁委员会申请仲裁；</w:t>
      </w:r>
      <w:r/>
    </w:p>
    <w:p>
      <w:pPr>
        <w:ind w:firstLine="420"/>
        <w:jc w:val="left"/>
        <w:spacing w:line="380" w:lineRule="exact"/>
        <w:rPr>
          <w:rFonts w:ascii="宋体" w:hAnsi="宋体"/>
          <w:color w:val="auto"/>
          <w:szCs w:val="21"/>
          <w:highlight w:val="none"/>
        </w:rPr>
      </w:pPr>
      <w:r>
        <w:rPr>
          <w:rFonts w:hint="eastAsia" w:ascii="宋体" w:hAnsi="宋体"/>
          <w:color w:val="auto"/>
          <w:szCs w:val="21"/>
          <w:highlight w:val="none"/>
        </w:rPr>
        <w:t xml:space="preserve">（2）向</w:t>
      </w:r>
      <w:r>
        <w:rPr>
          <w:rFonts w:hint="eastAsia" w:ascii="宋体" w:hAnsi="宋体"/>
          <w:color w:val="auto"/>
          <w:szCs w:val="21"/>
          <w:highlight w:val="none"/>
          <w:u w:val="single"/>
        </w:rPr>
        <w:t xml:space="preserve">南通市通州区</w:t>
      </w:r>
      <w:r>
        <w:rPr>
          <w:rFonts w:hint="eastAsia" w:ascii="宋体" w:hAnsi="宋体"/>
          <w:color w:val="auto"/>
          <w:szCs w:val="21"/>
          <w:highlight w:val="none"/>
        </w:rPr>
        <w:t xml:space="preserve">人民法院起诉。</w:t>
      </w:r>
      <w:bookmarkEnd w:id="741"/>
      <w:r/>
      <w:bookmarkEnd w:id="742"/>
      <w:r/>
      <w:bookmarkEnd w:id="743"/>
      <w:r/>
      <w:bookmarkEnd w:id="744"/>
      <w:r/>
      <w:bookmarkEnd w:id="745"/>
      <w:r/>
      <w:bookmarkEnd w:id="746"/>
      <w:r/>
      <w:r/>
    </w:p>
    <w:p>
      <w:pPr>
        <w:keepLines/>
        <w:keepNext/>
        <w:spacing w:before="120" w:after="120" w:line="380" w:lineRule="exact"/>
        <w:rPr>
          <w:rFonts w:hint="eastAsia" w:ascii="宋体" w:hAnsi="宋体" w:eastAsia="黑体"/>
          <w:b/>
          <w:bCs/>
          <w:color w:val="auto"/>
          <w:sz w:val="28"/>
          <w:highlight w:val="none"/>
        </w:rPr>
        <w:outlineLvl w:val="3"/>
      </w:pPr>
      <w:r>
        <w:rPr>
          <w:rFonts w:hint="eastAsia" w:ascii="宋体" w:hAnsi="宋体" w:eastAsia="黑体"/>
          <w:b/>
          <w:bCs/>
          <w:color w:val="auto"/>
          <w:sz w:val="28"/>
          <w:highlight w:val="none"/>
          <w:lang w:val="en-US" w:eastAsia="zh-CN"/>
        </w:rPr>
        <w:t xml:space="preserve">21. </w:t>
      </w:r>
      <w:r>
        <w:rPr>
          <w:rFonts w:hint="eastAsia" w:ascii="宋体" w:hAnsi="宋体" w:eastAsia="黑体"/>
          <w:b/>
          <w:bCs/>
          <w:color w:val="auto"/>
          <w:sz w:val="28"/>
          <w:highlight w:val="none"/>
        </w:rPr>
        <w:t xml:space="preserve">本工程扬尘污染防控检查标准见下表，详细要求见《市区扬尘整治“654”专项行动方案》及《通州区扬尘整治“654”专项行动方案》等规定。</w:t>
      </w:r>
      <w:r/>
    </w:p>
    <w:tbl>
      <w:tblPr>
        <w:tblStyle w:val="9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885"/>
        <w:gridCol w:w="960"/>
        <w:gridCol w:w="1770"/>
        <w:gridCol w:w="4923"/>
      </w:tblGrid>
      <w:tr>
        <w:trPr>
          <w:jc w:val="center"/>
          <w:trHeight w:val="416"/>
        </w:trPr>
        <w:tc>
          <w:tcPr>
            <w:tcBorders>
              <w:top w:val="single" w:color="auto" w:sz="4" w:space="0"/>
              <w:left w:val="single" w:color="auto" w:sz="4" w:space="0"/>
              <w:bottom w:val="single" w:color="auto" w:sz="4" w:space="0"/>
              <w:right w:val="single" w:color="auto" w:sz="4" w:space="0"/>
            </w:tcBorders>
            <w:tcW w:w="79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领域</w:t>
            </w:r>
            <w:r/>
          </w:p>
        </w:tc>
        <w:tc>
          <w:tcPr>
            <w:tcBorders>
              <w:top w:val="single" w:color="auto" w:sz="4" w:space="0"/>
              <w:left w:val="none" w:color="000000" w:sz="4" w:space="0"/>
              <w:bottom w:val="single" w:color="auto" w:sz="4" w:space="0"/>
              <w:right w:val="single" w:color="auto" w:sz="4" w:space="0"/>
            </w:tcBorders>
            <w:tcW w:w="885"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类别</w:t>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控制措施</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标    准</w:t>
            </w:r>
            <w:r/>
          </w:p>
        </w:tc>
      </w:tr>
      <w:tr>
        <w:trPr>
          <w:jc w:val="center"/>
          <w:trHeight w:val="232"/>
        </w:trPr>
        <w:tc>
          <w:tcPr>
            <w:tcBorders>
              <w:top w:val="single" w:color="auto"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w:t>
            </w:r>
            <w:r/>
          </w:p>
        </w:tc>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房建类</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轨交类</w:t>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开工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“四查”</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合同管理</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将扬尘污染防治措施纳入施工、运输、监理合同管理。</w:t>
            </w:r>
            <w:r/>
          </w:p>
        </w:tc>
      </w:tr>
      <w:tr>
        <w:trPr>
          <w:jc w:val="center"/>
          <w:trHeight w:val="22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专款专用</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将扬尘费用列入工程造价，在招标时作为不可竞争费用计入安全文明施工措施费。</w:t>
            </w:r>
            <w:r/>
          </w:p>
        </w:tc>
      </w:tr>
      <w:tr>
        <w:trPr>
          <w:jc w:val="center"/>
          <w:trHeight w:val="44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防尘方案</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有系统完整的扬尘污染防治方案。</w:t>
            </w:r>
            <w:r/>
          </w:p>
        </w:tc>
      </w:tr>
      <w:tr>
        <w:trPr>
          <w:jc w:val="center"/>
          <w:trHeight w:val="45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承诺书</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建设、施工、监理单位签署扬尘防控承诺书。</w:t>
            </w:r>
            <w:r/>
          </w:p>
        </w:tc>
      </w:tr>
      <w:tr>
        <w:trPr>
          <w:jc w:val="center"/>
          <w:trHeight w:val="48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现场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“五看”</w:t>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教育培训</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认真开展防尘教育培训、晨会技术交底正常有效。</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围挡</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工地周边全封闭围挡，围挡下方设置防溢座（不低于20cm）。</w:t>
            </w:r>
            <w:r/>
          </w:p>
        </w:tc>
      </w:tr>
      <w:tr>
        <w:trPr>
          <w:jc w:val="center"/>
          <w:trHeight w:val="232"/>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裸土及物料堆放覆盖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对易干燥起尘的裸露场地和堆放的土方，采取覆盖、绿化等防尘措施。</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预拌砂浆、散装水泥等搅拌设备四周设置全封闭围挡。</w:t>
            </w:r>
            <w:r/>
          </w:p>
        </w:tc>
      </w:tr>
      <w:tr>
        <w:trPr>
          <w:jc w:val="center"/>
          <w:trHeight w:val="445"/>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湿法作业</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喷淋系统、洒水车、高压喷雾炮等设备正常使用。</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路面与场地硬化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施工现场出入口、场内主要道路、主要操作场地以及生活、办公区主要道路必须进行硬化处理。</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出入车辆冲洗</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主出入口处设置成套定型化自动冲洗设施，配套排水沟和沉淀池。施工场地不具备设置条件的，配备高压水枪等简易冲洗装置。落实专人负责车辆、道路的冲洗，车辆冲洗台帐完善。</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77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车辆密闭运输</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委托具有资质的运输企业负责渣士及建筑垃圾的运输与处置，运输车辆处于全密闭状态后驶出工地。</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市政</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道路</w:t>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边界围挡</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一般路段围墙围挡高度不低于1.8m。重要地区和主要路段范围内的图墙围挡高度不低于2.5cm。</w:t>
            </w:r>
            <w:r/>
          </w:p>
        </w:tc>
      </w:tr>
      <w:tr>
        <w:trPr>
          <w:jc w:val="center"/>
          <w:trHeight w:val="46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围挡必须由金属、混凝土、望料等硬质材料制作。</w:t>
            </w:r>
            <w:r/>
          </w:p>
        </w:tc>
      </w:tr>
      <w:tr>
        <w:trPr>
          <w:jc w:val="center"/>
          <w:trHeight w:val="40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任意两块围档以及围挡与防溢座拼接处缝隙不大于0.5cm，围挡不得有明显破损漏洞。</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裸土易扬尘物料覆盖</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场地内临时堆存的堆土，应采用密闭式防尘网遮盖。有砂石、灰土、灰浆等易扬尘物料须以不透水的隔尘布完全覆盖或放置在顶部和四周均有遮蔽的范围内，防尘布或遮蔽装置完好率大于95％。</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湿法作业</w:t>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施工作业期，喷淋系统每4小时开启一次，每次开启时间不少于10分钟。</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土方开挖、路基等施工期间，喷淋或洒水应每2小时一次，每次时间不少于10分钟;采用厂拌法灰土拌合，灰土过筛避风，使用风钻挖掘地面、石料切割或者清扫施工现场时，采取向地面洒水或者喷淋等降尘措施。对已回填后的沟槽，应当采取洒水、覆盖等降尘措施。</w:t>
            </w:r>
            <w:r/>
          </w:p>
        </w:tc>
      </w:tr>
      <w:tr>
        <w:trPr>
          <w:jc w:val="center"/>
          <w:trHeight w:val="70"/>
        </w:trPr>
        <w:tc>
          <w:tcPr>
            <w:tcBorders>
              <w:top w:val="single" w:color="auto"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single" w:color="auto" w:sz="4" w:space="0"/>
              <w:bottom w:val="single" w:color="auto" w:sz="4" w:space="0"/>
              <w:right w:val="single" w:color="auto" w:sz="4" w:space="0"/>
            </w:tcBorders>
            <w:tcW w:w="2730"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扬尘监测数据超标时（PMI0监测指标大于100微克/立方米）或重污染天气应急预警启动时，现场开启喷淋降尘设备，保持场地湿润不起尘。</w:t>
            </w:r>
            <w:r/>
          </w:p>
        </w:tc>
      </w:tr>
      <w:tr>
        <w:trPr>
          <w:jc w:val="center"/>
          <w:trHeight w:val="43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运输车辆冲洗</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同房建、轨道类。</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道路硬化</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施工现场主要道路、主要操作场地以及生活、办公区主要道路硬化处理，及时洒水降尘，车行道上无明显尘土，保持路面湿润、清洁。</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强弱电施工</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开工前需至区行业主管部门报备，并严格落实扬尘管控措施。</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工地</w:t>
            </w:r>
            <w:r/>
          </w:p>
        </w:tc>
        <w:tc>
          <w:tcPr>
            <w:tcBorders>
              <w:top w:val="none" w:color="000000" w:sz="4" w:space="0"/>
              <w:left w:val="none" w:color="000000" w:sz="4" w:space="0"/>
              <w:bottom w:val="single" w:color="auto" w:sz="4" w:space="0"/>
              <w:right w:val="single" w:color="auto" w:sz="4" w:space="0"/>
            </w:tcBorders>
            <w:tcW w:w="885" w:type="dxa"/>
            <w:vAlign w:val="center"/>
            <w:vMerge w:val="restart"/>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园林</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绿化</w:t>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边界围挡</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5000平方米以上的成片绿化建设，在绿化用地周围设置不低于1.8米的硬质密闭围挡。其余同市政道路类。</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建设管护</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绿带、花坛（池）内的泥土土面低于路缘石10cm以上，雨天及绿化浇水时泥土不外溅（泄）。</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裸土覆盖</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栽植行道树，所挖树穴在24小时内不能栽植的，树穴和栽种土应当采取覆盖等扬尘污染防治措施。行道树栽植后，当天完成余土及其他物料清运；不能完成清运的，采用密闭式防尘网遮盖。绿化带、行道树下的裸露泥地应当栽种绿化或者铺装。</w:t>
            </w:r>
            <w:r/>
          </w:p>
        </w:tc>
      </w:tr>
      <w:tr>
        <w:trPr>
          <w:jc w:val="center"/>
          <w:trHeight w:val="70"/>
        </w:trPr>
        <w:tc>
          <w:tcPr>
            <w:tcBorders>
              <w:top w:val="none" w:color="000000" w:sz="4" w:space="0"/>
              <w:left w:val="single" w:color="auto" w:sz="4" w:space="0"/>
              <w:bottom w:val="single" w:color="auto" w:sz="4" w:space="0"/>
              <w:right w:val="single" w:color="auto" w:sz="4" w:space="0"/>
            </w:tcBorders>
            <w:tcW w:w="799"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885" w:type="dxa"/>
            <w:vAlign w:val="center"/>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73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易扬尘物料覆盖、道路硬化、车辆冲洗</w:t>
            </w:r>
            <w:r/>
          </w:p>
        </w:tc>
        <w:tc>
          <w:tcPr>
            <w:tcBorders>
              <w:top w:val="single" w:color="auto" w:sz="4" w:space="0"/>
              <w:left w:val="none" w:color="000000" w:sz="4" w:space="0"/>
              <w:bottom w:val="single" w:color="auto" w:sz="4" w:space="0"/>
              <w:right w:val="single" w:color="auto" w:sz="4" w:space="0"/>
            </w:tcBorders>
            <w:tcW w:w="4923"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同市政道路。                                      </w:t>
            </w:r>
            <w:r/>
          </w:p>
        </w:tc>
      </w:tr>
    </w:tbl>
    <w:p>
      <w:pPr>
        <w:ind w:firstLine="420"/>
        <w:jc w:val="left"/>
        <w:spacing w:line="440" w:lineRule="exact"/>
        <w:rPr>
          <w:rFonts w:hint="eastAsia" w:ascii="宋体" w:hAnsi="宋体" w:cs="宋体"/>
          <w:color w:val="auto"/>
          <w:szCs w:val="21"/>
          <w:highlight w:val="none"/>
        </w:rPr>
      </w:pPr>
      <w:r>
        <w:rPr>
          <w:rFonts w:hint="eastAsia" w:ascii="宋体" w:hAnsi="宋体" w:cs="宋体"/>
          <w:color w:val="auto"/>
          <w:szCs w:val="21"/>
          <w:highlight w:val="none"/>
          <w:lang w:bidi="ar"/>
        </w:rPr>
        <w:t xml:space="preserve">如承包人未按上述要求采取合理、有效措施致使本项目被通报批评的，每发生一次，承包人向发包人承担违约金2万元；如因承包人措施不当致使发包人被处罚的，每发生一次，除相应的罚款由承包人承担外，承包人另向发包人承担违约金5万元/次；</w:t>
      </w:r>
      <w:r>
        <w:rPr>
          <w:rFonts w:hint="eastAsia" w:ascii="宋体" w:hAnsi="宋体" w:cs="宋体"/>
          <w:color w:val="auto"/>
          <w:szCs w:val="21"/>
          <w:highlight w:val="none"/>
        </w:rPr>
        <w:t xml:space="preserve">因总包单位现场扬尘管控不到位，造成工期延误不得进行工期索赔。</w:t>
      </w:r>
      <w:r/>
    </w:p>
    <w:p>
      <w:pPr>
        <w:spacing w:line="400" w:lineRule="exact"/>
        <w:rPr>
          <w:rFonts w:hint="eastAsia" w:ascii="宋体" w:hAnsi="宋体"/>
          <w:color w:val="auto"/>
          <w:szCs w:val="21"/>
          <w:highlight w:val="none"/>
        </w:rPr>
      </w:pPr>
      <w:r>
        <w:rPr>
          <w:rFonts w:ascii="Times New Roman" w:hAnsi="Times New Roman" w:eastAsia="仿宋_GB2312"/>
          <w:color w:val="auto"/>
          <w:sz w:val="24"/>
          <w:szCs w:val="21"/>
          <w:highlight w:val="none"/>
        </w:rPr>
        <w:br w:type="page" w:clear="all"/>
      </w:r>
      <w:r>
        <w:rPr>
          <w:rFonts w:hint="eastAsia" w:ascii="宋体" w:hAnsi="宋体"/>
          <w:color w:val="auto"/>
          <w:szCs w:val="21"/>
          <w:highlight w:val="none"/>
        </w:rPr>
        <w:t xml:space="preserve">附</w:t>
      </w:r>
      <w:bookmarkStart w:id="781" w:name="_Toc296891266"/>
      <w:r/>
      <w:bookmarkStart w:id="782" w:name="_Toc296944565"/>
      <w:r/>
      <w:bookmarkStart w:id="783" w:name="_Toc296346727"/>
      <w:r/>
      <w:bookmarkStart w:id="784" w:name="_Toc296891054"/>
      <w:r/>
      <w:bookmarkStart w:id="785" w:name="_Toc296347225"/>
      <w:r/>
      <w:bookmarkStart w:id="786" w:name="_Toc296503226"/>
      <w:r/>
      <w:bookmarkStart w:id="787" w:name="_Toc267261693"/>
      <w:r>
        <w:rPr>
          <w:rFonts w:hint="eastAsia" w:ascii="宋体" w:hAnsi="宋体"/>
          <w:color w:val="auto"/>
          <w:szCs w:val="21"/>
          <w:highlight w:val="none"/>
        </w:rPr>
        <w:t xml:space="preserve">件：</w:t>
      </w:r>
      <w:bookmarkEnd w:id="781"/>
      <w:r/>
      <w:bookmarkEnd w:id="782"/>
      <w:r/>
      <w:bookmarkEnd w:id="783"/>
      <w:r/>
      <w:bookmarkEnd w:id="784"/>
      <w:r/>
      <w:bookmarkEnd w:id="785"/>
      <w:r/>
      <w:bookmarkEnd w:id="786"/>
      <w:r/>
      <w:bookmarkEnd w:id="787"/>
      <w:r>
        <w:rPr>
          <w:rFonts w:hint="eastAsia" w:ascii="宋体" w:hAnsi="宋体"/>
          <w:color w:val="auto"/>
          <w:szCs w:val="21"/>
          <w:highlight w:val="none"/>
        </w:rPr>
        <w:t xml:space="preserve">    </w:t>
      </w:r>
      <w:r/>
    </w:p>
    <w:p>
      <w:pPr>
        <w:jc w:val="center"/>
        <w:spacing w:before="120" w:after="120" w:line="400" w:lineRule="exact"/>
        <w:rPr>
          <w:rFonts w:hint="eastAsia" w:ascii="宋体" w:hAnsi="宋体"/>
          <w:b/>
          <w:color w:val="auto"/>
          <w:szCs w:val="21"/>
          <w:highlight w:val="none"/>
        </w:rPr>
      </w:pPr>
      <w:r>
        <w:rPr>
          <w:rFonts w:hint="eastAsia" w:ascii="宋体" w:hAnsi="宋体"/>
          <w:b/>
          <w:color w:val="auto"/>
          <w:szCs w:val="21"/>
          <w:highlight w:val="none"/>
        </w:rPr>
        <w:t xml:space="preserve">工程质量保修书</w:t>
      </w:r>
      <w:r/>
    </w:p>
    <w:p>
      <w:pPr>
        <w:ind w:firstLine="420"/>
        <w:spacing w:line="400" w:lineRule="exact"/>
        <w:rPr>
          <w:rFonts w:hint="eastAsia" w:ascii="宋体" w:hAnsi="宋体"/>
          <w:color w:val="auto"/>
          <w:szCs w:val="21"/>
          <w:highlight w:val="none"/>
          <w:u w:val="single"/>
        </w:rPr>
      </w:pPr>
      <w:r>
        <w:rPr>
          <w:rFonts w:hint="eastAsia" w:ascii="宋体" w:hAnsi="宋体"/>
          <w:color w:val="auto"/>
          <w:szCs w:val="21"/>
          <w:highlight w:val="none"/>
        </w:rPr>
        <w:t xml:space="preserve">发包人（全称）：</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承包人（全称）：</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发包人和承包人根据《中华人民共和国建筑法》和《建设工程质量管理条例》，经协商一致就</w:t>
      </w:r>
      <w:r>
        <w:rPr>
          <w:rFonts w:hint="eastAsia" w:ascii="宋体" w:hAnsi="宋体"/>
          <w:color w:val="auto"/>
          <w:szCs w:val="21"/>
          <w:highlight w:val="none"/>
          <w:u w:val="single"/>
        </w:rPr>
        <w:t xml:space="preserve"> </w:t>
      </w:r>
      <w:r>
        <w:rPr>
          <w:rFonts w:hint="eastAsia" w:ascii="宋体" w:hAnsi="宋体"/>
          <w:color w:val="auto"/>
          <w:szCs w:val="21"/>
          <w:highlight w:val="none"/>
          <w:u w:val="single"/>
          <w:lang w:eastAsia="zh-CN"/>
        </w:rPr>
        <w:t xml:space="preserve">先锋街道危桥改造工程（第二次）</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签订工程质量保修书。</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88" w:name="_Toc4096"/>
      <w:r/>
      <w:bookmarkStart w:id="789" w:name="_Toc1864"/>
      <w:r>
        <w:rPr>
          <w:rFonts w:hint="eastAsia" w:ascii="宋体" w:hAnsi="宋体"/>
          <w:color w:val="auto"/>
          <w:szCs w:val="21"/>
          <w:highlight w:val="none"/>
        </w:rPr>
        <w:t xml:space="preserve">一、工程质量保修范围和内容</w:t>
      </w:r>
      <w:bookmarkEnd w:id="788"/>
      <w:r/>
      <w:bookmarkEnd w:id="789"/>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承包人在质量保修期内，按照有关法律规定和合同约定，承担工程质量保修责任。</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质量保修范围包括</w:t>
      </w:r>
      <w:r>
        <w:rPr>
          <w:rFonts w:hint="eastAsia" w:ascii="宋体" w:hAnsi="宋体" w:cs="宋体"/>
          <w:color w:val="auto"/>
          <w:szCs w:val="21"/>
          <w:highlight w:val="none"/>
          <w:u w:val="single"/>
        </w:rPr>
        <w:t xml:space="preserve">施工图纸及工程量清单所列以及本工程竣工后实际完成的所有工程</w:t>
      </w:r>
      <w:r>
        <w:rPr>
          <w:rFonts w:hint="eastAsia" w:ascii="宋体" w:hAnsi="宋体"/>
          <w:color w:val="auto"/>
          <w:szCs w:val="21"/>
          <w:highlight w:val="none"/>
        </w:rPr>
        <w:t xml:space="preserve">，以及双方约定的其他项目。</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具体保修的内容，双方约定如下：</w:t>
      </w:r>
      <w:r>
        <w:rPr>
          <w:rFonts w:hint="eastAsia" w:ascii="宋体" w:hAnsi="宋体"/>
          <w:color w:val="auto"/>
          <w:szCs w:val="21"/>
          <w:highlight w:val="none"/>
          <w:u w:val="single"/>
        </w:rPr>
        <w:t xml:space="preserve">详见工程量清单及本工程竣工后实际完成的所有工作内容 </w:t>
      </w:r>
      <w:r>
        <w:rPr>
          <w:rFonts w:hint="eastAsia" w:ascii="宋体" w:hAnsi="宋体"/>
          <w:color w:val="auto"/>
          <w:szCs w:val="21"/>
          <w:highlight w:val="none"/>
        </w:rPr>
        <w:t xml:space="preserve">。</w:t>
      </w:r>
      <w:r/>
    </w:p>
    <w:p>
      <w:pPr>
        <w:spacing w:line="400" w:lineRule="exact"/>
        <w:rPr>
          <w:rFonts w:hint="eastAsia" w:ascii="宋体" w:hAnsi="宋体"/>
          <w:color w:val="auto"/>
          <w:szCs w:val="21"/>
          <w:highlight w:val="none"/>
        </w:rPr>
        <w:outlineLvl w:val="0"/>
      </w:pPr>
      <w:r>
        <w:rPr>
          <w:rFonts w:hint="eastAsia" w:ascii="宋体" w:hAnsi="宋体"/>
          <w:b/>
          <w:color w:val="auto"/>
          <w:szCs w:val="21"/>
          <w:highlight w:val="none"/>
        </w:rPr>
        <w:t xml:space="preserve">　　</w:t>
      </w:r>
      <w:bookmarkStart w:id="790" w:name="_Toc31632"/>
      <w:r/>
      <w:bookmarkStart w:id="791" w:name="_Toc8840"/>
      <w:r>
        <w:rPr>
          <w:rFonts w:hint="eastAsia" w:ascii="宋体" w:hAnsi="宋体"/>
          <w:color w:val="auto"/>
          <w:szCs w:val="21"/>
          <w:highlight w:val="none"/>
        </w:rPr>
        <w:t xml:space="preserve">二、质量保修期</w:t>
      </w:r>
      <w:bookmarkEnd w:id="790"/>
      <w:r/>
      <w:bookmarkEnd w:id="791"/>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根据《建设工程质量管理条例》及有关规定，工程的质量保修期如下：</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 1．地基基础工程和主体结构工程为设计文件规定的工程合理使用年限；</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 2．屋面防水工程、有防水要求的卫生间、房间和外墙面的防渗为</w:t>
      </w:r>
      <w:r>
        <w:rPr>
          <w:rFonts w:hint="eastAsia" w:ascii="宋体" w:hAnsi="宋体"/>
          <w:color w:val="auto"/>
          <w:szCs w:val="21"/>
          <w:highlight w:val="none"/>
          <w:u w:val="single"/>
        </w:rPr>
        <w:t xml:space="preserve">  5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3．装修工程为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4．电气管线、给排水管道、设备安装工程为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5．供热与供冷系统为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个采暖期、供冷期；</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6．住宅小区内的给排水设施、道路等配套工程为</w:t>
      </w:r>
      <w:r>
        <w:rPr>
          <w:rFonts w:hint="eastAsia" w:ascii="宋体" w:hAnsi="宋体"/>
          <w:color w:val="auto"/>
          <w:szCs w:val="21"/>
          <w:highlight w:val="none"/>
          <w:u w:val="single"/>
        </w:rPr>
        <w:t xml:space="preserve"> 2  </w:t>
      </w:r>
      <w:r>
        <w:rPr>
          <w:rFonts w:hint="eastAsia" w:ascii="宋体" w:hAnsi="宋体"/>
          <w:color w:val="auto"/>
          <w:szCs w:val="21"/>
          <w:highlight w:val="none"/>
        </w:rPr>
        <w:t xml:space="preserve">年；</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7．其他项目保修期限约定如下：</w:t>
      </w:r>
      <w:r>
        <w:rPr>
          <w:rFonts w:hint="eastAsia" w:ascii="宋体" w:hAnsi="宋体"/>
          <w:b/>
          <w:bCs/>
          <w:color w:val="auto"/>
          <w:szCs w:val="21"/>
          <w:highlight w:val="none"/>
          <w:u w:val="single"/>
        </w:rPr>
        <w:t xml:space="preserve">本项目质量保修期为2年</w:t>
      </w:r>
      <w:r>
        <w:rPr>
          <w:rFonts w:hint="eastAsia" w:ascii="宋体" w:hAnsi="宋体"/>
          <w:b/>
          <w:bCs/>
          <w:color w:val="auto"/>
          <w:szCs w:val="21"/>
          <w:highlight w:val="none"/>
        </w:rPr>
        <w:t xml:space="preserve">。</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质量保修期自工程竣工验收合格之日起计算。</w:t>
      </w:r>
      <w:r/>
    </w:p>
    <w:p>
      <w:pPr>
        <w:ind w:firstLine="420"/>
        <w:spacing w:line="400" w:lineRule="exact"/>
        <w:rPr>
          <w:rFonts w:hint="eastAsia" w:ascii="宋体" w:hAnsi="宋体"/>
          <w:color w:val="auto"/>
          <w:szCs w:val="21"/>
          <w:highlight w:val="none"/>
        </w:rPr>
        <w:outlineLvl w:val="0"/>
      </w:pPr>
      <w:r/>
      <w:bookmarkStart w:id="792" w:name="_Toc49"/>
      <w:r/>
      <w:bookmarkStart w:id="793" w:name="_Toc20423"/>
      <w:r>
        <w:rPr>
          <w:rFonts w:hint="eastAsia" w:ascii="宋体" w:hAnsi="宋体"/>
          <w:color w:val="auto"/>
          <w:szCs w:val="21"/>
          <w:highlight w:val="none"/>
        </w:rPr>
        <w:t xml:space="preserve">三、缺陷责任期</w:t>
      </w:r>
      <w:bookmarkEnd w:id="792"/>
      <w:r/>
      <w:bookmarkEnd w:id="793"/>
      <w:r/>
      <w:r/>
    </w:p>
    <w:p>
      <w:pPr>
        <w:ind w:firstLine="420"/>
        <w:jc w:val="left"/>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工程缺陷责任期为</w:t>
      </w:r>
      <w:r>
        <w:rPr>
          <w:rFonts w:hint="eastAsia" w:ascii="宋体" w:hAnsi="宋体"/>
          <w:color w:val="auto"/>
          <w:szCs w:val="21"/>
          <w:highlight w:val="none"/>
          <w:u w:val="single"/>
        </w:rPr>
        <w:t xml:space="preserve"> 24</w:t>
      </w:r>
      <w:r>
        <w:rPr>
          <w:rFonts w:hint="eastAsia" w:ascii="宋体" w:hAnsi="宋体"/>
          <w:color w:val="auto"/>
          <w:szCs w:val="21"/>
          <w:highlight w:val="none"/>
        </w:rPr>
        <w:t xml:space="preserve">个月，缺陷责任期自工程通过竣工验收之日起计算。单位工程先于全部工程进行验收，单位工程缺陷责任期自单位工程验收合格之日起算。</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t xml:space="preserve">缺陷责任期终止后，发包人应退还剩余的质量保证金。</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94" w:name="_Toc1010"/>
      <w:r/>
      <w:bookmarkStart w:id="795" w:name="_Toc22481"/>
      <w:r>
        <w:rPr>
          <w:rFonts w:hint="eastAsia" w:ascii="宋体" w:hAnsi="宋体"/>
          <w:color w:val="auto"/>
          <w:szCs w:val="21"/>
          <w:highlight w:val="none"/>
        </w:rPr>
        <w:t xml:space="preserve">四、质量保修责任</w:t>
      </w:r>
      <w:bookmarkEnd w:id="794"/>
      <w:r/>
      <w:bookmarkEnd w:id="795"/>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1．属于保修范围、内容的项目，承包人应当在接到保修通知之日起7天内派人保修。承包人不在约定期限内派人保修的，发包人可以委托他人修理。</w:t>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2．发生紧急事故需抢修的，承包人在接到事故通知后，应当立即到达事故现场抢修。</w:t>
      </w:r>
      <w:r/>
    </w:p>
    <w:p>
      <w:pPr>
        <w:ind w:left="105" w:firstLine="430"/>
        <w:spacing w:line="400" w:lineRule="exact"/>
        <w:rPr>
          <w:rFonts w:hint="eastAsia" w:ascii="宋体" w:hAnsi="宋体"/>
          <w:color w:val="auto"/>
          <w:szCs w:val="21"/>
          <w:highlight w:val="none"/>
        </w:rPr>
      </w:pPr>
      <w:r>
        <w:rPr>
          <w:rFonts w:hint="eastAsia" w:ascii="宋体" w:hAnsi="宋体"/>
          <w:color w:val="auto"/>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400" w:lineRule="exact"/>
        <w:rPr>
          <w:rFonts w:hint="eastAsia" w:ascii="宋体" w:hAnsi="宋体"/>
          <w:color w:val="auto"/>
          <w:szCs w:val="21"/>
          <w:highlight w:val="none"/>
        </w:rPr>
      </w:pPr>
      <w:r>
        <w:rPr>
          <w:rFonts w:hint="eastAsia" w:ascii="宋体" w:hAnsi="宋体"/>
          <w:color w:val="auto"/>
          <w:szCs w:val="21"/>
          <w:highlight w:val="none"/>
        </w:rPr>
        <w:t xml:space="preserve">4．质量保修完成后，由发包人组织验收。</w:t>
      </w:r>
      <w:r/>
    </w:p>
    <w:p>
      <w:pPr>
        <w:spacing w:line="400" w:lineRule="exact"/>
        <w:rPr>
          <w:rFonts w:hint="eastAsia" w:ascii="宋体" w:hAnsi="宋体"/>
          <w:color w:val="auto"/>
          <w:szCs w:val="21"/>
          <w:highlight w:val="none"/>
        </w:rPr>
        <w:outlineLvl w:val="0"/>
      </w:pPr>
      <w:r>
        <w:rPr>
          <w:rFonts w:hint="eastAsia" w:ascii="宋体" w:hAnsi="宋体"/>
          <w:color w:val="auto"/>
          <w:szCs w:val="21"/>
          <w:highlight w:val="none"/>
        </w:rPr>
        <w:t xml:space="preserve">　　</w:t>
      </w:r>
      <w:bookmarkStart w:id="796" w:name="_Toc13416"/>
      <w:r/>
      <w:bookmarkStart w:id="797" w:name="_Toc17049"/>
      <w:r>
        <w:rPr>
          <w:rFonts w:hint="eastAsia" w:ascii="宋体" w:hAnsi="宋体"/>
          <w:color w:val="auto"/>
          <w:szCs w:val="21"/>
          <w:highlight w:val="none"/>
        </w:rPr>
        <w:t xml:space="preserve">五、保修费用</w:t>
      </w:r>
      <w:bookmarkEnd w:id="796"/>
      <w:r/>
      <w:bookmarkEnd w:id="797"/>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　　保修费用由造成质量缺陷的责任方承担。</w:t>
      </w:r>
      <w:r/>
    </w:p>
    <w:p>
      <w:pPr>
        <w:ind w:firstLine="420"/>
        <w:spacing w:line="400" w:lineRule="exact"/>
        <w:rPr>
          <w:rFonts w:hint="eastAsia" w:ascii="宋体" w:hAnsi="宋体"/>
          <w:color w:val="auto"/>
          <w:szCs w:val="21"/>
          <w:highlight w:val="none"/>
        </w:rPr>
        <w:outlineLvl w:val="0"/>
      </w:pPr>
      <w:r/>
      <w:bookmarkStart w:id="798" w:name="_Toc31250"/>
      <w:r/>
      <w:bookmarkStart w:id="799" w:name="_Toc1721"/>
      <w:r>
        <w:rPr>
          <w:rFonts w:hint="eastAsia" w:ascii="宋体" w:hAnsi="宋体"/>
          <w:color w:val="auto"/>
          <w:szCs w:val="21"/>
          <w:highlight w:val="none"/>
        </w:rPr>
        <w:t xml:space="preserve">六、双方约定的其他工程质量保修事项</w:t>
      </w:r>
      <w:bookmarkEnd w:id="798"/>
      <w:r/>
      <w:bookmarkEnd w:id="799"/>
      <w:r/>
      <w:r/>
    </w:p>
    <w:p>
      <w:pPr>
        <w:ind w:firstLine="399"/>
        <w:spacing w:line="400" w:lineRule="exact"/>
        <w:rPr>
          <w:rFonts w:hint="eastAsia" w:ascii="宋体" w:hAnsi="宋体"/>
          <w:color w:val="auto"/>
          <w:szCs w:val="21"/>
          <w:highlight w:val="none"/>
        </w:rPr>
      </w:pPr>
      <w:r>
        <w:rPr>
          <w:rFonts w:hint="eastAsia" w:ascii="宋体" w:hAnsi="宋体"/>
          <w:color w:val="auto"/>
          <w:szCs w:val="21"/>
          <w:highlight w:val="none"/>
        </w:rPr>
        <w:t xml:space="preserve">工程质量保修书由发包人、承包人在工程竣工验收前共同签署，作为施工合同附件，其有效期限至保修期满。</w:t>
      </w:r>
      <w:r/>
    </w:p>
    <w:p>
      <w:pPr>
        <w:ind w:firstLine="420"/>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发包人(公章)：</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承包人(公章)：</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地  址：</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地  址：</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法定代表人(签字)：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法定代表人(签字)：</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委托代理人(签字)：</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委托代理人(签字)：</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电  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电  话：</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传  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传  真：</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开户银行：</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开户银行：</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账  号：</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账  号：</w:t>
      </w:r>
      <w:r>
        <w:rPr>
          <w:rFonts w:hint="eastAsia" w:ascii="宋体" w:hAnsi="宋体"/>
          <w:color w:val="auto"/>
          <w:szCs w:val="21"/>
          <w:highlight w:val="none"/>
          <w:u w:val="single"/>
        </w:rPr>
        <w:t xml:space="preserve">                          </w:t>
      </w:r>
      <w:r/>
    </w:p>
    <w:p>
      <w:pPr>
        <w:spacing w:line="400" w:lineRule="exact"/>
        <w:rPr>
          <w:rFonts w:hint="eastAsia" w:ascii="宋体" w:hAnsi="宋体"/>
          <w:color w:val="auto"/>
          <w:szCs w:val="21"/>
          <w:highlight w:val="none"/>
        </w:rPr>
      </w:pPr>
      <w:r>
        <w:rPr>
          <w:rFonts w:hint="eastAsia" w:ascii="宋体" w:hAnsi="宋体"/>
          <w:color w:val="auto"/>
          <w:szCs w:val="21"/>
          <w:highlight w:val="none"/>
        </w:rPr>
        <w:t xml:space="preserve">邮政编码：</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邮政编码：</w:t>
      </w:r>
      <w:r>
        <w:rPr>
          <w:rFonts w:hint="eastAsia" w:ascii="宋体" w:hAnsi="宋体"/>
          <w:color w:val="auto"/>
          <w:szCs w:val="21"/>
          <w:highlight w:val="none"/>
          <w:u w:val="single"/>
        </w:rPr>
        <w:t xml:space="preserve">                        </w:t>
      </w:r>
      <w:r/>
    </w:p>
    <w:p>
      <w:pPr>
        <w:jc w:val="left"/>
        <w:spacing w:before="120" w:after="120"/>
        <w:rPr>
          <w:rFonts w:hint="eastAsia" w:ascii="宋体" w:hAnsi="宋体"/>
          <w:color w:val="auto"/>
          <w:sz w:val="24"/>
          <w:szCs w:val="21"/>
          <w:highlight w:val="none"/>
        </w:rPr>
      </w:pPr>
      <w:r>
        <w:rPr>
          <w:rFonts w:hint="eastAsia" w:ascii="宋体" w:hAnsi="宋体"/>
          <w:b/>
          <w:color w:val="auto"/>
          <w:szCs w:val="21"/>
          <w:highlight w:val="none"/>
        </w:rPr>
        <w:br w:type="page" w:clear="all"/>
      </w:r>
      <w:r>
        <w:rPr>
          <w:rFonts w:hint="eastAsia" w:ascii="宋体" w:hAnsi="宋体"/>
          <w:color w:val="auto"/>
          <w:sz w:val="24"/>
          <w:szCs w:val="21"/>
          <w:highlight w:val="none"/>
        </w:rPr>
        <w:t xml:space="preserve">附件：</w:t>
      </w:r>
      <w:r/>
    </w:p>
    <w:p>
      <w:pPr>
        <w:jc w:val="center"/>
        <w:spacing w:before="120" w:after="120" w:line="40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廉政协议</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进一步加强南通市通州区工程建设的党风廉政建设，保证工程建设优质、 高效、有序地 进行， 就</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 xml:space="preserve"> 双方协商一致， 自愿签订以下 廉政合同。</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第一条：权利和义务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（一）严格遵守党和国家有关法规及党风廉政建设各项规定。</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（二）严格执行施工合同的各项规定， 自觉按合同办事。</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（三）双方的业务活动坚持公开、公正、公平、诚信的原则，严禁损害国家和集体利益，违反工程建设管理规章制度。</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（四）建立健全党风廉政建设各项制度，开展党风廉政建设宣传教育，加强对本方工作人员的监督检查。</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（五）发现对方在业务活动中有违反廉政规定的行为，有及时提醒和督促对方纠正的权利和义务，并严肃查处本方工作人员的违纪行为。</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第二条：甲方在廉政建设方面的义务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（一）甲方及其工作人员不得挤占、截留、挪用工程款或超进度拨付工程款。</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（二）甲方及其工作人员不准索要或接受乙方的礼金，有价证券、支付凭证、贵重物品等财物。</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（三）甲方及其工作人员不准在乙方报销应由甲方或个人支付的费用。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（四）甲方工作人员不准参加乙方提供的宴请、娱乐活动；不准要求乙方提供交通工具、通讯工具、高档办公用品等。</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（五）甲方及其工作人员不准要求乙方为其配偶、子女及有利害关系的人员安排工作或劳务；不准违反规定从事与乙方施工项目有关的材料设备供应、工程分包等经济活动。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第三条：乙方在廉政建设方面义务</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（一）乙方不准以任何形式向甲方及其工作人员馈赠礼金、礼品、有价证券、支付凭证、贵重物品等财物；</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（二）乙方不准以任何名义为甲方及其工作人员报销应由甲方或个人支付的费用。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（三）乙方不准以任何理由邀请甲方工作人员参加对承建的施工项目有影响的宴请及娱乐活动；不准为其提供通讯工具、交通工具、高档办公用品等。</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（四）乙方不准违反规定将承建的施工项目分包或转包。</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（五）乙方及其工作人员不准与该工程的监理单位串通，违反工程计量、资金支付、质量验评、竣工验收等有关规定和程序，损害甲方利益，影响工程质量、进度和安全。</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第四条：违约责任</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（一）甲方若违法乱纪违反本《廉政合同》有关规定的，对违法乱纪人员，由甲方依据有关规定查处，给乙方造成的损失，按有关规定予以赔偿。</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（二）乙方若违法乱纪违反本《廉政合同》有关规定的，对违法乱纪人员，由乙方主管部门依据有关规定查处，给甲方造成的损失，按有关规定予以赔偿。</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第五条：督查单位</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双方约定：自愿接受各相关监督主体对合同执行情况的监督检查，接受提出本合同规定范围内的裁定意见。</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第六条：检查方式</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本合同的履约情况由督查单位主持，甲乙双方共同派员参加，检查方式为座谈、问卷调查、查看资料或由各方约定的其他方式等。检查时间、次数、方式、检查结论和执行违约责任等由双方协商确定，如无法达成一致的，由督查单位依据事实裁定。</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第七条：本合同有效期为工程开工之日起至该合同段工程项目竣工验收后止。</w:t>
      </w:r>
      <w:r/>
    </w:p>
    <w:p>
      <w:pPr>
        <w:ind w:firstLine="420"/>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第八条：本合同一式三份，甲、乙双方各执一份，送交督查部门一份。</w:t>
      </w:r>
      <w:r/>
    </w:p>
    <w:tbl>
      <w:tblPr>
        <w:tblStyle w:val="942"/>
        <w:tblpPr w:horzAnchor="page" w:tblpX="1235" w:vertAnchor="text" w:tblpY="587"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8"/>
        <w:gridCol w:w="4593"/>
      </w:tblGrid>
      <w:tr>
        <w:trPr>
          <w:trHeight w:val="2969"/>
        </w:trPr>
        <w:tc>
          <w:tcPr>
            <w:tcW w:w="4748" w:type="dxa"/>
            <w:vAlign w:val="top"/>
            <w:textDirection w:val="lrTb"/>
            <w:noWrap w:val="false"/>
          </w:tcPr>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建设单位：（盖章）</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法定代表人（或受权代理人）签字：</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t xml:space="preserve">202</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年  月  日</w:t>
            </w:r>
            <w:r/>
          </w:p>
        </w:tc>
        <w:tc>
          <w:tcPr>
            <w:tcW w:w="4593" w:type="dxa"/>
            <w:vAlign w:val="top"/>
            <w:textDirection w:val="lrTb"/>
            <w:noWrap w:val="false"/>
          </w:tcPr>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承包单位：（盖章）</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法定代表人（或受权代理人）签字：</w:t>
            </w:r>
            <w:r/>
          </w:p>
          <w:p>
            <w:pPr>
              <w:spacing w:line="360" w:lineRule="auto"/>
              <w:rPr>
                <w:rFonts w:hint="eastAsia" w:ascii="宋体" w:hAnsi="宋体" w:cs="宋体"/>
                <w:color w:val="auto"/>
                <w:sz w:val="22"/>
                <w:highlight w:val="none"/>
                <w:lang w:bidi="ar"/>
              </w:rPr>
            </w:pPr>
            <w:r>
              <w:rPr>
                <w:rFonts w:hint="eastAsia" w:ascii="宋体" w:hAnsi="宋体" w:cs="宋体"/>
                <w:color w:val="auto"/>
                <w:sz w:val="22"/>
                <w:highlight w:val="none"/>
                <w:lang w:bidi="ar"/>
              </w:rPr>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lang w:bidi="ar"/>
              </w:rPr>
              <w:t xml:space="preserve">202</w:t>
            </w:r>
            <w:r>
              <w:rPr>
                <w:rFonts w:hint="eastAsia" w:ascii="宋体" w:hAnsi="宋体" w:cs="宋体"/>
                <w:color w:val="auto"/>
                <w:sz w:val="22"/>
                <w:highlight w:val="none"/>
                <w:lang w:val="en-US" w:eastAsia="zh-CN" w:bidi="ar"/>
              </w:rPr>
              <w:t xml:space="preserve">5</w:t>
            </w:r>
            <w:r>
              <w:rPr>
                <w:rFonts w:hint="eastAsia" w:ascii="宋体" w:hAnsi="宋体" w:cs="宋体"/>
                <w:color w:val="auto"/>
                <w:sz w:val="22"/>
                <w:highlight w:val="none"/>
                <w:lang w:bidi="ar"/>
              </w:rPr>
              <w:t xml:space="preserve">年  月  日</w:t>
            </w:r>
            <w:r/>
          </w:p>
        </w:tc>
      </w:tr>
    </w:tbl>
    <w:p>
      <w:pPr>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ind w:left="19"/>
        <w:spacing w:before="83" w:line="219" w:lineRule="auto"/>
        <w:rPr>
          <w:rFonts w:hint="eastAsia" w:ascii="宋体" w:hAnsi="宋体" w:cs="宋体"/>
          <w:color w:val="auto"/>
          <w:spacing w:val="-12"/>
          <w:sz w:val="23"/>
          <w:szCs w:val="23"/>
          <w:highlight w:val="none"/>
        </w:rPr>
      </w:pPr>
      <w:r>
        <w:rPr>
          <w:rFonts w:hint="eastAsia" w:ascii="宋体" w:hAnsi="宋体" w:cs="宋体"/>
          <w:color w:val="auto"/>
          <w:spacing w:val="-12"/>
          <w:sz w:val="23"/>
          <w:szCs w:val="23"/>
          <w:highlight w:val="none"/>
        </w:rPr>
      </w:r>
      <w:r/>
    </w:p>
    <w:p>
      <w:pPr>
        <w:jc w:val="center"/>
        <w:spacing w:line="360" w:lineRule="auto"/>
        <w:rPr>
          <w:rFonts w:hint="eastAsia" w:ascii="宋体" w:hAnsi="宋体" w:cs="宋体"/>
          <w:color w:val="auto"/>
          <w:sz w:val="24"/>
          <w:szCs w:val="24"/>
          <w:highlight w:val="none"/>
        </w:rPr>
        <w:sectPr>
          <w:footerReference w:type="default" r:id="rId12"/>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color w:val="auto"/>
          <w:sz w:val="24"/>
          <w:szCs w:val="24"/>
          <w:highlight w:val="none"/>
        </w:rPr>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安全生产合同</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发包人：</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s="宋体"/>
          <w:color w:val="auto"/>
          <w:sz w:val="24"/>
          <w:szCs w:val="24"/>
          <w:highlight w:val="none"/>
        </w:rPr>
        <w:t xml:space="preserve"> </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承包人：</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为在</w:t>
      </w:r>
      <w:r>
        <w:rPr>
          <w:rFonts w:hint="eastAsia" w:ascii="宋体" w:hAnsi="宋体" w:cs="宋体"/>
          <w:color w:val="auto"/>
          <w:sz w:val="24"/>
          <w:szCs w:val="24"/>
          <w:highlight w:val="none"/>
          <w:u w:val="single"/>
        </w:rPr>
        <w:t xml:space="preserve"> </w:t>
      </w:r>
      <w:r>
        <w:rPr>
          <w:rFonts w:hint="eastAsia" w:ascii="宋体" w:hAnsi="宋体"/>
          <w:color w:val="auto"/>
          <w:sz w:val="24"/>
          <w:szCs w:val="24"/>
          <w:highlight w:val="none"/>
          <w:u w:val="single"/>
          <w:lang w:eastAsia="zh-CN"/>
        </w:rPr>
        <w:t xml:space="preserve">先锋街道危桥改造工程（第二次）</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rPr>
        <w:t xml:space="preserve">施工合同的实施过程中创造安全、整洁的施工环境，切实搞好本项目的安全管理工作，本项目发包人与承包人特此签订安全生产合同：</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一、发包人职责 </w:t>
      </w:r>
      <w:r/>
    </w:p>
    <w:p>
      <w:pPr>
        <w:numPr>
          <w:ilvl w:val="0"/>
          <w:numId w:val="5"/>
        </w:num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严格遵守国家有关安全生产的法律法规、认真执行工程承包合同中的有关安全要求。</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2．按照“安全第一、预防为主”和坚持“管生产必须管安全”的原则进行安全生产管理，做到生产与安全工作同时计划、布置、检查、总结和评比。</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ascii="宋体" w:hAnsi="宋体" w:cs="宋体"/>
          <w:color w:val="auto"/>
          <w:sz w:val="24"/>
          <w:szCs w:val="24"/>
          <w:highlight w:val="none"/>
        </w:rPr>
        <w:t xml:space="preserve">重要的安全设施必须坚持与主体工程“三同时”的原则，即：同时设计、审批，同时施工，同时验收，投入使用。</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rPr>
          <w:rFonts w:ascii="宋体" w:hAnsi="宋体" w:cs="宋体"/>
          <w:color w:val="auto"/>
          <w:sz w:val="24"/>
          <w:szCs w:val="24"/>
          <w:highlight w:val="none"/>
        </w:rPr>
        <w:t xml:space="preserve">定期召开安全生产调度会，及时传达中央及地方有关安全生产的精神。</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5.</w:t>
      </w:r>
      <w:r>
        <w:rPr>
          <w:rFonts w:ascii="宋体" w:hAnsi="宋体" w:cs="宋体"/>
          <w:color w:val="auto"/>
          <w:sz w:val="24"/>
          <w:szCs w:val="24"/>
          <w:highlight w:val="none"/>
        </w:rPr>
        <w:t xml:space="preserve">组织对承包人施工现场安全生产检查，监督承包有及时处理发现的各项隐患。</w:t>
      </w:r>
      <w:r/>
    </w:p>
    <w:p>
      <w:p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二、承包人职责</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1．严格遵守国家有关安全生产的法律法规和有关安全生产的规定，认真执行工程承包合同中的有关安全要求。</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坚持“安全第一、预防为主”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1%-3%配备安全员，专职负责所有员工的安全和治安保卫工作及预防事故的发生。安全机构人员，有权按有关规定发布指令，并采取保护性措施防止事故发生。</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4．承包人在任何时候都应采取各种合理的预防措施，防止其员工发生任何违法、违禁、暴力或妨碍治安的行为。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7．操作人员上岗，必须按规定穿戴防护用品。施工负责人和安全检查员应随时检查劳动防护用品的穿戴情况，不按规定穿戴防护用品的人员不得上岗。</w:t>
      </w:r>
      <w:r/>
    </w:p>
    <w:p>
      <w:pPr>
        <w:ind w:firstLine="4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ascii="宋体" w:hAnsi="宋体" w:cs="宋体"/>
          <w:color w:val="auto"/>
          <w:sz w:val="24"/>
          <w:szCs w:val="24"/>
          <w:highlight w:val="none"/>
        </w:rPr>
        <w:t xml:space="preserve">所有施工机具设备和高空作业的设备均应定期检查，并有安全员的签字记录，保证其经常处于完好状态；不合格的机具、设备和劳动保护用品严禁使用。</w:t>
      </w:r>
      <w:r/>
    </w:p>
    <w:p>
      <w:pPr>
        <w:ind w:firstLine="420"/>
        <w:spacing w:line="360" w:lineRule="auto"/>
        <w:rPr>
          <w:color w:val="auto"/>
          <w:sz w:val="24"/>
          <w:szCs w:val="24"/>
          <w:highlight w:val="none"/>
        </w:rPr>
      </w:pPr>
      <w:r>
        <w:rPr>
          <w:rFonts w:ascii="宋体" w:hAnsi="宋体" w:cs="宋体"/>
          <w:color w:val="auto"/>
          <w:sz w:val="24"/>
          <w:szCs w:val="24"/>
          <w:highlight w:val="none"/>
        </w:rPr>
        <w:t xml:space="preserve">9．施工中采用新技术、新工艺、新设备、新材料时，必须制定相应的安全技术措施，施工现场必须具有相关的安全标志牌。</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ab/>
      </w:r>
      <w:r>
        <w:rPr>
          <w:rFonts w:ascii="宋体" w:hAnsi="宋体" w:cs="宋体"/>
          <w:color w:val="auto"/>
          <w:sz w:val="24"/>
          <w:szCs w:val="24"/>
          <w:highlight w:val="none"/>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numPr>
          <w:ilvl w:val="0"/>
          <w:numId w:val="6"/>
        </w:numP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t xml:space="preserve">违约责任</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如因发包人或承包人违约造成安全事故，将依法追究责任。</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本合同</w:t>
      </w:r>
      <w:r>
        <w:rPr>
          <w:rFonts w:hint="eastAsia" w:ascii="宋体" w:hAnsi="宋体" w:cs="宋体"/>
          <w:color w:val="auto"/>
          <w:sz w:val="24"/>
          <w:szCs w:val="24"/>
          <w:highlight w:val="none"/>
        </w:rPr>
        <w:t xml:space="preserve">一式伍份，甲乙双方各执贰份，相关部门执壹份</w:t>
      </w:r>
      <w:r>
        <w:rPr>
          <w:rFonts w:ascii="宋体" w:hAnsi="宋体" w:cs="宋体"/>
          <w:color w:val="auto"/>
          <w:sz w:val="24"/>
          <w:szCs w:val="24"/>
          <w:highlight w:val="none"/>
        </w:rPr>
        <w:t xml:space="preserve">。由双方法定代表人或其授权的代理人签署与加盖公章后生效，全部工程竣工验收后失效。</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发包人：(公章)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承 包 人：(公章)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法定代表人：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法定代表人： </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委托代表人：</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委托代表人：</w:t>
      </w:r>
      <w:r/>
    </w:p>
    <w:p>
      <w:pPr>
        <w:ind w:firstLine="42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 年 月 日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年 月 日</w:t>
      </w:r>
      <w:r/>
    </w:p>
    <w:p>
      <w:pPr>
        <w:ind w:firstLine="42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发包人保留对本合同修改的权利</w:t>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20"/>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before="120" w:after="120" w:line="360" w:lineRule="auto"/>
        <w:rPr>
          <w:rFonts w:hint="eastAsia" w:ascii="黑体" w:hAnsi="Courier New" w:eastAsia="黑体" w:cs="Courier New"/>
          <w:bCs/>
          <w:color w:val="auto"/>
          <w:sz w:val="44"/>
          <w:szCs w:val="21"/>
          <w:highlight w:val="none"/>
        </w:rPr>
      </w:pPr>
      <w:r/>
      <w:bookmarkStart w:id="800" w:name="_Hlt16619350"/>
      <w:r/>
      <w:bookmarkStart w:id="801" w:name="_Toc20823346"/>
      <w:r/>
      <w:bookmarkStart w:id="802" w:name="_Toc16938590"/>
      <w:r/>
      <w:bookmarkStart w:id="803" w:name="_Toc120614244"/>
      <w:r/>
      <w:bookmarkStart w:id="804" w:name="_Toc462564139"/>
      <w:r/>
      <w:bookmarkStart w:id="805" w:name="_Toc479757211"/>
      <w:r>
        <w:rPr>
          <w:rFonts w:hint="eastAsia" w:ascii="黑体" w:hAnsi="Courier New" w:eastAsia="黑体" w:cs="Courier New"/>
          <w:bCs/>
          <w:color w:val="auto"/>
          <w:sz w:val="44"/>
          <w:szCs w:val="21"/>
          <w:highlight w:val="none"/>
        </w:rPr>
        <w:t xml:space="preserve">第</w:t>
      </w:r>
      <w:bookmarkEnd w:id="800"/>
      <w:r>
        <w:rPr>
          <w:rFonts w:hint="eastAsia" w:ascii="黑体" w:hAnsi="Courier New" w:eastAsia="黑体" w:cs="Courier New"/>
          <w:bCs/>
          <w:color w:val="auto"/>
          <w:sz w:val="44"/>
          <w:szCs w:val="21"/>
          <w:highlight w:val="none"/>
        </w:rPr>
        <w:t xml:space="preserve">四章 采购需求</w:t>
      </w:r>
      <w:bookmarkEnd w:id="801"/>
      <w:r/>
      <w:bookmarkEnd w:id="802"/>
      <w:r/>
      <w:bookmarkEnd w:id="803"/>
      <w:r/>
      <w:bookmarkStart w:id="806" w:name="_Toc26554093"/>
      <w:r/>
      <w:bookmarkStart w:id="807" w:name="_Toc49090575"/>
      <w:r/>
      <w:r/>
    </w:p>
    <w:p>
      <w:pPr>
        <w:spacing w:line="360" w:lineRule="auto"/>
        <w:rPr>
          <w:rFonts w:hint="eastAsia" w:ascii="宋体" w:hAnsi="宋体" w:cs="宋体"/>
          <w:b/>
          <w:color w:val="auto"/>
          <w:sz w:val="24"/>
          <w:szCs w:val="24"/>
          <w:highlight w:val="none"/>
        </w:rPr>
        <w:outlineLvl w:val="0"/>
      </w:pPr>
      <w:r/>
      <w:bookmarkStart w:id="808" w:name="_Toc78297523"/>
      <w:r/>
      <w:bookmarkStart w:id="809" w:name="_Toc78297117"/>
      <w:r>
        <w:rPr>
          <w:rFonts w:hint="eastAsia" w:ascii="宋体" w:hAnsi="宋体" w:cs="宋体"/>
          <w:b/>
          <w:color w:val="auto"/>
          <w:sz w:val="24"/>
          <w:szCs w:val="24"/>
          <w:highlight w:val="none"/>
        </w:rPr>
        <w:t xml:space="preserve">一</w:t>
      </w:r>
      <w:r>
        <w:rPr>
          <w:rFonts w:hint="eastAsia" w:ascii="宋体" w:hAnsi="宋体" w:cs="宋体"/>
          <w:b/>
          <w:color w:val="auto"/>
          <w:sz w:val="24"/>
          <w:szCs w:val="24"/>
          <w:highlight w:val="none"/>
          <w:lang w:val="zh-CN"/>
        </w:rPr>
        <w:t xml:space="preserve">、</w:t>
      </w:r>
      <w:r>
        <w:rPr>
          <w:rFonts w:hint="eastAsia" w:ascii="宋体" w:hAnsi="宋体" w:cs="宋体"/>
          <w:b/>
          <w:color w:val="auto"/>
          <w:sz w:val="24"/>
          <w:szCs w:val="24"/>
          <w:highlight w:val="none"/>
        </w:rPr>
        <w:t xml:space="preserve">项目</w:t>
      </w:r>
      <w:bookmarkEnd w:id="808"/>
      <w:r/>
      <w:bookmarkEnd w:id="809"/>
      <w:r>
        <w:rPr>
          <w:rFonts w:hint="eastAsia" w:ascii="宋体" w:hAnsi="宋体" w:cs="宋体"/>
          <w:b/>
          <w:color w:val="auto"/>
          <w:sz w:val="24"/>
          <w:szCs w:val="24"/>
          <w:highlight w:val="none"/>
        </w:rPr>
        <w:t xml:space="preserve">概况</w:t>
      </w:r>
      <w:r/>
    </w:p>
    <w:p>
      <w:pPr>
        <w:spacing w:after="120" w:line="360" w:lineRule="auto"/>
        <w:rPr>
          <w:rFonts w:hint="eastAsia" w:ascii="宋体" w:hAnsi="宋体" w:eastAsia="宋体" w:cs="宋体"/>
          <w:color w:val="auto"/>
          <w:sz w:val="24"/>
          <w:szCs w:val="24"/>
          <w:highlight w:val="none"/>
          <w:lang w:eastAsia="zh-CN"/>
        </w:rPr>
      </w:pPr>
      <w:r/>
      <w:bookmarkStart w:id="810" w:name="_Toc4280"/>
      <w:r/>
      <w:bookmarkStart w:id="811" w:name="_Toc13080"/>
      <w:r/>
      <w:bookmarkStart w:id="812" w:name="_Toc8735"/>
      <w:r>
        <w:rPr>
          <w:rFonts w:hint="eastAsia" w:ascii="宋体" w:hAnsi="宋体" w:cs="宋体"/>
          <w:color w:val="auto"/>
          <w:sz w:val="24"/>
          <w:szCs w:val="24"/>
          <w:highlight w:val="none"/>
        </w:rPr>
        <w:t xml:space="preserve">    1.项目名称：</w:t>
      </w:r>
      <w:r>
        <w:rPr>
          <w:rFonts w:hint="eastAsia" w:ascii="宋体" w:hAnsi="宋体" w:cs="宋体"/>
          <w:color w:val="auto"/>
          <w:sz w:val="24"/>
          <w:szCs w:val="24"/>
          <w:highlight w:val="none"/>
          <w:lang w:eastAsia="zh-CN"/>
        </w:rPr>
        <w:t xml:space="preserve">先锋街道危桥改造工程（第二次）</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2.采购方式：竞争性磋商 </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3.预算金额：</w:t>
      </w:r>
      <w:r>
        <w:rPr>
          <w:rFonts w:hint="eastAsia" w:ascii="宋体" w:hAnsi="宋体"/>
          <w:color w:val="auto"/>
          <w:sz w:val="24"/>
          <w:szCs w:val="24"/>
          <w:highlight w:val="none"/>
        </w:rPr>
        <w:t xml:space="preserve">本项目采购预算价</w:t>
      </w:r>
      <w:r>
        <w:rPr>
          <w:rFonts w:hint="eastAsia" w:ascii="宋体" w:hAnsi="宋体"/>
          <w:color w:val="auto"/>
          <w:sz w:val="24"/>
          <w:szCs w:val="24"/>
          <w:highlight w:val="none"/>
          <w:lang w:val="en-US" w:eastAsia="zh-CN"/>
        </w:rPr>
        <w:t xml:space="preserve">83.570195万元</w:t>
      </w:r>
      <w:r>
        <w:rPr>
          <w:rFonts w:hint="eastAsia" w:ascii="宋体" w:hAnsi="宋体"/>
          <w:color w:val="auto"/>
          <w:sz w:val="24"/>
          <w:szCs w:val="24"/>
          <w:highlight w:val="none"/>
        </w:rPr>
        <w:t xml:space="preserve">，资金来源财政资金。</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4.最高限价：793916.8</w:t>
      </w:r>
      <w:r>
        <w:rPr>
          <w:rFonts w:hint="eastAsia" w:ascii="宋体" w:hAnsi="宋体"/>
          <w:color w:val="auto"/>
          <w:sz w:val="24"/>
          <w:szCs w:val="24"/>
          <w:highlight w:val="none"/>
        </w:rPr>
        <w:t xml:space="preserve">元</w:t>
      </w:r>
      <w:r>
        <w:rPr>
          <w:rFonts w:hint="eastAsia" w:ascii="宋体" w:hAnsi="宋体" w:cs="宋体"/>
          <w:color w:val="auto"/>
          <w:sz w:val="24"/>
          <w:szCs w:val="24"/>
          <w:highlight w:val="none"/>
        </w:rPr>
        <w:t xml:space="preserve">，最终报价超过采购最高限价的为无效响应文件。</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5.项目类型：工程</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6.所属行业：建筑业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7.采购需求：</w:t>
      </w:r>
      <w:r>
        <w:rPr>
          <w:rFonts w:hint="eastAsia" w:ascii="宋体" w:hAnsi="宋体"/>
          <w:color w:val="auto"/>
          <w:sz w:val="24"/>
          <w:szCs w:val="24"/>
          <w:highlight w:val="none"/>
        </w:rPr>
        <w:t xml:space="preserve">该工程位于南通市通州区，主要内容为危桥改造等。具体详见工程量清单及图纸</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一旦</w:t>
      </w:r>
      <w:r>
        <w:rPr>
          <w:rFonts w:hint="eastAsia" w:ascii="宋体" w:hAnsi="宋体"/>
          <w:color w:val="auto"/>
          <w:sz w:val="24"/>
          <w:szCs w:val="24"/>
          <w:highlight w:val="none"/>
          <w:lang w:eastAsia="zh-CN"/>
        </w:rPr>
        <w:t xml:space="preserve">成交</w:t>
      </w:r>
      <w:r>
        <w:rPr>
          <w:rFonts w:hint="eastAsia" w:ascii="宋体" w:hAnsi="宋体"/>
          <w:color w:val="auto"/>
          <w:sz w:val="24"/>
          <w:szCs w:val="24"/>
          <w:highlight w:val="none"/>
        </w:rPr>
        <w:t xml:space="preserve">，不得提出额外要求。</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8.工期：</w:t>
      </w:r>
      <w:r>
        <w:rPr>
          <w:rFonts w:hint="eastAsia" w:ascii="宋体" w:hAnsi="宋体" w:cs="宋体"/>
          <w:color w:val="auto"/>
          <w:sz w:val="24"/>
          <w:szCs w:val="24"/>
          <w:highlight w:val="none"/>
          <w:lang w:val="en-US" w:eastAsia="zh-CN"/>
        </w:rPr>
        <w:t xml:space="preserve">60</w:t>
      </w:r>
      <w:r>
        <w:rPr>
          <w:rFonts w:hint="eastAsia" w:ascii="宋体" w:hAnsi="宋体" w:cs="宋体"/>
          <w:color w:val="auto"/>
          <w:sz w:val="24"/>
          <w:szCs w:val="24"/>
          <w:highlight w:val="none"/>
        </w:rPr>
        <w:t xml:space="preserve">日历天。</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9.质量要求：合格，保修期两年。 </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10.本项目不接受分包。</w:t>
      </w:r>
      <w:r/>
    </w:p>
    <w:p>
      <w:pPr>
        <w:ind w:firstLine="480"/>
        <w:spacing w:after="12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11.本项目是否专门面向中小企业采购：是。</w:t>
      </w:r>
      <w:r/>
    </w:p>
    <w:p>
      <w:p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二</w:t>
      </w:r>
      <w:r>
        <w:rPr>
          <w:rFonts w:hint="eastAsia" w:ascii="宋体" w:hAnsi="宋体" w:cs="宋体"/>
          <w:b/>
          <w:color w:val="auto"/>
          <w:sz w:val="24"/>
          <w:szCs w:val="24"/>
          <w:highlight w:val="none"/>
          <w:lang w:val="zh-CN"/>
        </w:rPr>
        <w:t xml:space="preserve">、工程量清单</w:t>
      </w:r>
      <w:bookmarkEnd w:id="810"/>
      <w:r/>
      <w:bookmarkEnd w:id="811"/>
      <w:r/>
      <w:bookmarkEnd w:id="812"/>
      <w:r/>
      <w:r/>
    </w:p>
    <w:p>
      <w:pPr>
        <w:spacing w:line="360" w:lineRule="auto"/>
        <w:rPr>
          <w:rFonts w:hint="eastAsia" w:ascii="宋体" w:hAnsi="宋体" w:cs="宋体"/>
          <w:b/>
          <w:color w:val="auto"/>
          <w:sz w:val="24"/>
          <w:szCs w:val="24"/>
          <w:highlight w:val="none"/>
        </w:rPr>
        <w:outlineLvl w:val="2"/>
      </w:pPr>
      <w:r/>
      <w:bookmarkStart w:id="813" w:name="_Toc78297525"/>
      <w:r/>
      <w:bookmarkStart w:id="814" w:name="_Toc473034406"/>
      <w:r/>
      <w:bookmarkStart w:id="815" w:name="_Toc498006749"/>
      <w:r>
        <w:rPr>
          <w:rFonts w:hint="eastAsia" w:ascii="宋体" w:hAnsi="宋体" w:cs="宋体"/>
          <w:b/>
          <w:color w:val="auto"/>
          <w:sz w:val="24"/>
          <w:szCs w:val="24"/>
          <w:highlight w:val="none"/>
        </w:rPr>
        <w:t xml:space="preserve">1．工程量清单编制说明</w:t>
      </w:r>
      <w:bookmarkEnd w:id="813"/>
      <w:r/>
      <w:bookmarkEnd w:id="814"/>
      <w:r/>
      <w:bookmarkEnd w:id="815"/>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1.1本工程量清单应与招标文件中的投标人须知、通用合同条款、专用合同条款、技术标准和要求及图纸等章节内容一起阅读和理解。</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1.2本工程量清单仅是投标报价的共同基础，竣工结算的工程量按合同约定确定。合同价格的确定以及价款支付应遵循合同条款(包括通用合同条款和专用合同条款)、技术标准和要求以及本章的有关约定。</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1.3本条第1.1款中约定的计量和计价规则适用于合同履约过程中工程量计量与价款支付、工程变更、索赔和工程结算。</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1.4本条与本章第2条和第3条的说明内容是构成合同文件的已标价工程量清单的组成部分。</w:t>
      </w:r>
      <w:r/>
    </w:p>
    <w:p>
      <w:pPr>
        <w:spacing w:line="360" w:lineRule="auto"/>
        <w:rPr>
          <w:rFonts w:hint="eastAsia" w:ascii="宋体" w:hAnsi="宋体" w:cs="宋体"/>
          <w:b/>
          <w:color w:val="auto"/>
          <w:sz w:val="24"/>
          <w:szCs w:val="24"/>
          <w:highlight w:val="none"/>
        </w:rPr>
        <w:outlineLvl w:val="2"/>
      </w:pPr>
      <w:r/>
      <w:bookmarkStart w:id="816" w:name="_Toc78297526"/>
      <w:r/>
      <w:bookmarkStart w:id="817" w:name="_Toc498006750"/>
      <w:r/>
      <w:bookmarkStart w:id="818" w:name="_Toc473034407"/>
      <w:r>
        <w:rPr>
          <w:rFonts w:hint="eastAsia" w:ascii="宋体" w:hAnsi="宋体" w:cs="宋体"/>
          <w:b/>
          <w:color w:val="auto"/>
          <w:sz w:val="24"/>
          <w:szCs w:val="24"/>
          <w:highlight w:val="none"/>
        </w:rPr>
        <w:t xml:space="preserve">2．投标报价编制要求</w:t>
      </w:r>
      <w:bookmarkEnd w:id="816"/>
      <w:r/>
      <w:bookmarkEnd w:id="817"/>
      <w:r/>
      <w:bookmarkEnd w:id="818"/>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2.1投标报价应根据招标文件中的有关计价要求，并按照下列依据自主报价，但不得低于成本。</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  本</w:t>
      </w:r>
      <w:r>
        <w:rPr>
          <w:rFonts w:hint="eastAsia" w:ascii="宋体" w:hAnsi="宋体"/>
          <w:color w:val="auto"/>
          <w:sz w:val="24"/>
          <w:szCs w:val="24"/>
          <w:highlight w:val="none"/>
        </w:rPr>
        <w:t xml:space="preserve">竞争性磋商文件</w:t>
      </w:r>
      <w:r>
        <w:rPr>
          <w:rFonts w:hint="eastAsia" w:ascii="宋体" w:hAnsi="宋体" w:cs="宋体"/>
          <w:color w:val="auto"/>
          <w:sz w:val="24"/>
          <w:szCs w:val="24"/>
          <w:highlight w:val="none"/>
        </w:rPr>
        <w:t xml:space="preserve">；</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  相关计算规范；</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  国家或省级、行业建设主管部门颁发的计价办法；</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  企业定额，国家或省级、行业建设主管部门颁发的计价定额；</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  </w:t>
      </w:r>
      <w:r>
        <w:rPr>
          <w:rFonts w:hint="eastAsia" w:ascii="宋体" w:hAnsi="宋体"/>
          <w:color w:val="auto"/>
          <w:sz w:val="24"/>
          <w:szCs w:val="24"/>
          <w:highlight w:val="none"/>
        </w:rPr>
        <w:t xml:space="preserve">竞争性磋商文件</w:t>
      </w:r>
      <w:r>
        <w:rPr>
          <w:rFonts w:hint="eastAsia" w:ascii="宋体" w:hAnsi="宋体" w:cs="宋体"/>
          <w:color w:val="auto"/>
          <w:sz w:val="24"/>
          <w:szCs w:val="24"/>
          <w:highlight w:val="none"/>
        </w:rPr>
        <w:t xml:space="preserve">、招标工程量清单及其补充通知、答疑纪要；</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  设计文件及相关资料；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(7)  施工现场情况、工程特点及拟定的投标施工组织设计或施工方案；</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  与建设项目相关的标准、规范等技术资料；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  市场价格信息或工程造价管理机构发布的工程造价信息；</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 其他的相关资料。</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2.2招标工程量清单与计价表中列明的所有需要填写单价和合价的项目，均应填写且只允许有一个报价。未填写单价和合价的项目，视为此项费用已包含在已标价工程量清单中其他项目的单价和合价之中。</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2.3工程量清单中标价的单价或金额，应包括所需人工费、材料费、施工机具使用费、管理费和利润，以及一定范围内的风险费用。所谓“一定范围内的风险”是指合同约定的风险。</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投标报价汇总表”中的投标总价由分部分项工程费、措施项目费、其他项目费、规费和税金组成，并且“投标报价汇总表”中的投标总价应当与构成已标价工程量清单的分部分项工程费、措施项目费、其他项目费、规费、税金的合计金额一致。</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2.5分部分项工程和措施项目中的单价项目按下列要求报价：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2.5.1分部分项工程和措施项目中的单价项目，应根据招标文件和招标工程量清单确定综合单价。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2.5.2</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如果分部分项工程量清单中涉及“材料（工程设备）暂估单价及调整表”中列出的材料和工程设备，将该类材料和工程设备的暂估单价计入对应的工程量清单综合单价。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如果分部分项工程量清单中涉及“发包人供应材料和工程设备一览表”中列出的材料和工程设备，则该类材料和工程设备供应至现场指定位置的采购供应价（含材料保管费）应计入对应的工程量清单综合单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2.5.4 “分部分项工程和单价措施项目清单与计价表”所列各项目的综合单价组成中，各项目的人工、材料和机械台班消耗量、管理费费率、利润费率由投标人按照其自身情况做充分的、竞争性考虑。</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2.5.5投标人在投标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投标文件中的“发包人供应材料和工程设备一览表”中的甲供材料的名称、规格、单价、交货方式、交货地点等必须与招标工程量清单一致。</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2.6措施项目中的总价项目按下列要求报价：</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  总价措施项目中，以费率计算的，投标单位在投标报价时自主报价；其他总价措施项目，按项计取，综合单价按实际或可能发生的费用进行计算。</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  措施项目清单中的安全文明施工费应按国家、省级或行业建设主管部门的规定计价，不得作为竞争性费用。</w:t>
      </w:r>
      <w:r/>
    </w:p>
    <w:p>
      <w:pPr>
        <w:ind w:left="13"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  招标人提供的措施项目清单，投标人在报价时应充分、全面地阅读和理解招标文件的相关内容和约定，包括 “技术标准和要求”的相关约定，详实了解工程场地及其周围环境，充分考虑招标工程特点及拟定的施工方案和施工组织设计，投标人可根据工程实际与施工组织设计增补总价措施项目，但不应更改招标人已列措施项目。</w:t>
      </w:r>
      <w:r/>
    </w:p>
    <w:p>
      <w:pPr>
        <w:ind w:firstLine="617"/>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  “总价措施项目清单与计价表”中所填写的报价金额，应全面涵盖招标文件约定的投标人中标后施工、竣工、交付本工程并维修其任何缺陷所需要履行的责任和义务的全部费用。</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2.7其他项目清单费应按下列规定报价：</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2.7.1 暂列金额按“暂列金额明细表”中列出的金额报价，此处的暂列金额是招标人在招标文件中统一给定的，并不包括本章第2.8.3项的计日工金额。</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2.7.2 暂估价分为材料和工程设备暂估单价和专业工程暂估价两类。其中的材料和工程设备暂估单价按本节第2.5.2项的报价原则进入分部分项工程量清单之综合单价，不在其他项目清单中汇总；专业工程暂估价直接按“专业工程暂估价及结算价表”中列出的金额和本节第3.3.3项的报价原则计入其他项目清单报价。</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2.7.3 计日工按“计日工表”中列出的项目和估算数量，自主确定综合单价并计算计日工金额。。</w:t>
      </w:r>
      <w:r/>
    </w:p>
    <w:p>
      <w:pPr>
        <w:ind w:left="2" w:firstLine="614"/>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2.7.4 总承包服务费根据招标文件中列出的内容和要求，按“总承包服务费计价表”所列格式自主报价。</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 除招标文件有强制性规定以及不可竞争部分以外，投标报价由投标人自主确定，但不得低于成本。</w:t>
      </w:r>
      <w:r/>
    </w:p>
    <w:p>
      <w:pPr>
        <w:ind w:left="2"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2.10 工程量清单计价所涉及的生产资源(包括各类人工、材料、工程设备、施工设备、临时设施、临时用水、临时用电等)的投标价格，应根据自身的信息渠道和采购渠道，分析其市场价格水平并判断其整个施工周期内的变化趋势，体现投标人自身的管理水平、技术水平和综合实力。</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管理费应由投标人在保证不低于其成本的基础上做竞争性考虑；利润由投标人根据自身情况和综合实力做竞争性考虑。</w:t>
      </w:r>
      <w:r/>
    </w:p>
    <w:p>
      <w:pPr>
        <w:ind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投标报价中应考虑招标文件中要求投标人承担的风险范围以及相关的费用。</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2.13 投标总价为投标人在投标文件中提出的各项支付金额的总和，为实施、完成招标工程并修补缺陷、进场材料检测以及履行招标文件中约定的风险范围内的所有责任和义务所发生的全部费用。</w:t>
      </w:r>
      <w:r/>
    </w:p>
    <w:p>
      <w:pPr>
        <w:spacing w:line="360" w:lineRule="auto"/>
        <w:rPr>
          <w:rFonts w:hint="eastAsia" w:ascii="宋体" w:hAnsi="宋体" w:cs="宋体"/>
          <w:b/>
          <w:color w:val="auto"/>
          <w:sz w:val="24"/>
          <w:szCs w:val="24"/>
          <w:highlight w:val="none"/>
        </w:rPr>
        <w:outlineLvl w:val="2"/>
      </w:pPr>
      <w:r/>
      <w:bookmarkStart w:id="819" w:name="_Toc78297527"/>
      <w:r/>
      <w:bookmarkStart w:id="820" w:name="_Toc473034408"/>
      <w:r/>
      <w:bookmarkStart w:id="821" w:name="_Toc498006751"/>
      <w:r>
        <w:rPr>
          <w:rFonts w:hint="eastAsia" w:ascii="宋体" w:hAnsi="宋体" w:cs="宋体"/>
          <w:b/>
          <w:color w:val="auto"/>
          <w:sz w:val="24"/>
          <w:szCs w:val="24"/>
          <w:highlight w:val="none"/>
        </w:rPr>
        <w:t xml:space="preserve">3．其他说明</w:t>
      </w:r>
      <w:bookmarkEnd w:id="819"/>
      <w:r/>
      <w:bookmarkEnd w:id="820"/>
      <w:r/>
      <w:bookmarkEnd w:id="821"/>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3.1词语和定义</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 同义词语</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本章中使用的词语“招标人”和“投标人”分别与合同条款中定义的“发包人”和“承包人”同义。</w:t>
      </w:r>
      <w:r/>
    </w:p>
    <w:p>
      <w:pPr>
        <w:ind w:firstLine="60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3.2工程量差异调整</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3.2.2 投标人可对招标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经过检查和复核以后认为招标人提供的工程量清单存在差异，则投标人按第二章2.4款规定的程序向招标人提出异议。</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3.2.3 如果招标人在检查投标人根据上文第3.2.2项提交的工程量差异问题后认为没有必要对工程量清单进行补充和(或)修改，或者招标人根据上文第3.2.2项对工程量清单进行了补充和(或)修改，但投标人认为工程量清单中的工程</w:t>
      </w:r>
      <w:r>
        <w:rPr>
          <w:rFonts w:hint="eastAsia" w:ascii="宋体" w:hAnsi="宋体" w:cs="宋体"/>
          <w:color w:val="auto"/>
          <w:sz w:val="24"/>
          <w:szCs w:val="24"/>
          <w:highlight w:val="none"/>
        </w:rPr>
        <w:t xml:space="preserve">量依然存在差异，则此类差异不再提交招标人答疑和修正，而是直接按招标人提供的工程量清单(包括招标人可能的补充和(或)修改)进行投标报价。投标人在按照工程量清单进行报价时，除按照本节2.7.3项要求对招标人提供的措施项目清单项目增补外，不得改变(包括对工程量清单项目的项目名称、项目特征描述、计量单位以及工程量的任何修改、增加或减少)招标人提供的分部分项工程量清单和其他项目清单。即使按照图纸和招标范围的约定并不存在的项目，只要在招标人提供的分部分项工程量清单中已经列明，投标人都需要对其报价，并纳入投标总价的计算。</w:t>
      </w:r>
      <w:r/>
    </w:p>
    <w:p>
      <w:pPr>
        <w:ind w:left="4" w:firstLine="41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3.3暂列金额和暂估价</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 “暂列金额明细表”中所列暂列金额(不包括计日工金额)中已经包含与其对应的管理费、利润。投标人应按本招标文件规定将此类暂列金额直接纳入其他项目清单的投标价格中。</w:t>
      </w:r>
      <w:r/>
    </w:p>
    <w:p>
      <w:pPr>
        <w:ind w:left="4" w:firstLine="612"/>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 专业工程暂估价及结算价表中所列的专业工程暂估价已经包含与其对应的管理费、利润，但不含规费和税金。投标人应按本招标文件规定将此类暂估价直接纳入其他项目清单的投标价格中。</w:t>
      </w:r>
      <w:r/>
    </w:p>
    <w:p>
      <w:pPr>
        <w:spacing w:line="360" w:lineRule="auto"/>
        <w:rPr>
          <w:rFonts w:hint="eastAsia" w:ascii="宋体" w:hAnsi="宋体" w:cs="宋体"/>
          <w:b/>
          <w:bCs/>
          <w:color w:val="auto"/>
          <w:sz w:val="24"/>
          <w:szCs w:val="24"/>
          <w:highlight w:val="none"/>
        </w:rPr>
        <w:outlineLvl w:val="0"/>
      </w:pPr>
      <w:r/>
      <w:bookmarkStart w:id="822" w:name="_Toc21910"/>
      <w:r/>
      <w:bookmarkStart w:id="823" w:name="_Toc28804"/>
      <w:r/>
      <w:bookmarkStart w:id="824" w:name="_Toc78297119"/>
      <w:r/>
      <w:bookmarkStart w:id="825" w:name="_Toc78297528"/>
      <w:r>
        <w:rPr>
          <w:rFonts w:hint="eastAsia" w:ascii="宋体" w:hAnsi="宋体" w:cs="宋体"/>
          <w:b/>
          <w:bCs/>
          <w:color w:val="auto"/>
          <w:sz w:val="24"/>
          <w:szCs w:val="24"/>
          <w:highlight w:val="none"/>
        </w:rPr>
        <w:t xml:space="preserve">三、技术标准和要求</w:t>
      </w:r>
      <w:bookmarkEnd w:id="822"/>
      <w:r/>
      <w:bookmarkEnd w:id="823"/>
      <w:r/>
      <w:bookmarkEnd w:id="824"/>
      <w:r/>
      <w:bookmarkEnd w:id="825"/>
      <w:r/>
      <w:bookmarkStart w:id="826" w:name="_Toc349555826"/>
      <w:r/>
      <w:bookmarkStart w:id="827" w:name="_Toc349557651"/>
      <w:r/>
      <w:bookmarkEnd w:id="826"/>
      <w:r/>
      <w:bookmarkEnd w:id="827"/>
      <w:r/>
      <w:r/>
    </w:p>
    <w:p>
      <w:pPr>
        <w:ind w:firstLine="600"/>
        <w:jc w:val="left"/>
        <w:spacing w:line="360" w:lineRule="auto"/>
        <w:rPr>
          <w:rFonts w:hint="eastAsia" w:ascii="宋体" w:hAnsi="宋体" w:cs="宋体"/>
          <w:color w:val="auto"/>
          <w:sz w:val="24"/>
          <w:szCs w:val="24"/>
          <w:highlight w:val="none"/>
        </w:rPr>
      </w:pPr>
      <w:r/>
      <w:bookmarkStart w:id="828" w:name="_Toc333498743"/>
      <w:r>
        <w:rPr>
          <w:rFonts w:hint="eastAsia" w:ascii="宋体" w:hAnsi="宋体" w:cs="宋体"/>
          <w:color w:val="auto"/>
          <w:sz w:val="24"/>
          <w:szCs w:val="24"/>
          <w:highlight w:val="none"/>
        </w:rPr>
        <w:t xml:space="preserve">1、本工程采用的计价规范</w:t>
      </w:r>
      <w:bookmarkEnd w:id="828"/>
      <w:r>
        <w:rPr>
          <w:rFonts w:hint="eastAsia" w:ascii="宋体" w:hAnsi="宋体" w:cs="宋体"/>
          <w:color w:val="auto"/>
          <w:sz w:val="24"/>
          <w:szCs w:val="24"/>
          <w:highlight w:val="none"/>
        </w:rPr>
        <w:t xml:space="preserve">（包括但不限于以下规范、要求）</w:t>
      </w:r>
      <w:r/>
    </w:p>
    <w:p>
      <w:pPr>
        <w:ind w:firstLine="470"/>
        <w:spacing w:line="360" w:lineRule="auto"/>
        <w:tabs>
          <w:tab w:val="left" w:pos="432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（1）江苏省、南通市其他现行的计价文件及补充计价定额             </w:t>
      </w:r>
      <w:r/>
    </w:p>
    <w:p>
      <w:pPr>
        <w:ind w:firstLine="518"/>
        <w:jc w:val="left"/>
        <w:spacing w:line="360" w:lineRule="auto"/>
        <w:rPr>
          <w:rFonts w:hint="eastAsia" w:ascii="宋体" w:hAnsi="宋体" w:cs="宋体"/>
          <w:color w:val="auto"/>
          <w:sz w:val="24"/>
          <w:szCs w:val="24"/>
          <w:highlight w:val="none"/>
        </w:rPr>
      </w:pPr>
      <w:r/>
      <w:bookmarkStart w:id="829" w:name="_Toc333498744"/>
      <w:r>
        <w:rPr>
          <w:rFonts w:hint="eastAsia" w:ascii="宋体" w:hAnsi="宋体" w:cs="宋体"/>
          <w:color w:val="auto"/>
          <w:sz w:val="24"/>
          <w:szCs w:val="24"/>
          <w:highlight w:val="none"/>
        </w:rPr>
        <w:t xml:space="preserve">2、本工程采用的技术规范</w:t>
      </w:r>
      <w:bookmarkEnd w:id="829"/>
      <w:r>
        <w:rPr>
          <w:rFonts w:hint="eastAsia" w:ascii="宋体" w:hAnsi="宋体" w:cs="宋体"/>
          <w:color w:val="auto"/>
          <w:sz w:val="24"/>
          <w:szCs w:val="24"/>
          <w:highlight w:val="none"/>
        </w:rPr>
        <w:t xml:space="preserve">（包括但不限于以下规范、要求）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本工程应执行的相关工程施工、检测、验收的相关规范与标准。当相关规范或标准互相矛盾时，以最新和最严格的为准。</w:t>
      </w:r>
      <w:r/>
    </w:p>
    <w:p>
      <w:pPr>
        <w:ind w:firstLine="518"/>
        <w:jc w:val="left"/>
        <w:spacing w:line="360" w:lineRule="auto"/>
        <w:rPr>
          <w:rFonts w:hint="eastAsia" w:ascii="宋体" w:hAnsi="宋体" w:cs="宋体"/>
          <w:color w:val="auto"/>
          <w:sz w:val="24"/>
          <w:szCs w:val="24"/>
          <w:highlight w:val="none"/>
        </w:rPr>
      </w:pPr>
      <w:r/>
      <w:bookmarkStart w:id="830" w:name="_Toc333498745"/>
      <w:r>
        <w:rPr>
          <w:rFonts w:hint="eastAsia" w:ascii="宋体" w:hAnsi="宋体" w:cs="宋体"/>
          <w:color w:val="auto"/>
          <w:sz w:val="24"/>
          <w:szCs w:val="24"/>
          <w:highlight w:val="none"/>
        </w:rPr>
        <w:t xml:space="preserve">3、本工程对施工工艺的特殊要求</w:t>
      </w:r>
      <w:bookmarkEnd w:id="830"/>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（1）工程的主要部位和特殊要求由建设、设计、监理三方讨论后以书面形式通知施工单位实施。</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TW"/>
        </w:rPr>
        <w:t xml:space="preserve">施工期间要注意周边环境</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TW"/>
        </w:rPr>
        <w:t xml:space="preserve">减少对周围</w:t>
      </w:r>
      <w:r>
        <w:rPr>
          <w:rFonts w:hint="eastAsia" w:ascii="宋体" w:hAnsi="宋体" w:cs="宋体"/>
          <w:color w:val="auto"/>
          <w:sz w:val="24"/>
          <w:szCs w:val="24"/>
          <w:highlight w:val="none"/>
        </w:rPr>
        <w:t xml:space="preserve">环境的</w:t>
      </w:r>
      <w:r>
        <w:rPr>
          <w:rFonts w:hint="eastAsia" w:ascii="宋体" w:hAnsi="宋体" w:cs="宋体"/>
          <w:color w:val="auto"/>
          <w:sz w:val="24"/>
          <w:szCs w:val="24"/>
          <w:highlight w:val="none"/>
          <w:lang w:eastAsia="zh-TW"/>
        </w:rPr>
        <w:t xml:space="preserve">影响</w:t>
      </w:r>
      <w:r>
        <w:rPr>
          <w:rFonts w:hint="eastAsia" w:ascii="宋体" w:hAnsi="宋体" w:cs="宋体"/>
          <w:color w:val="auto"/>
          <w:sz w:val="24"/>
          <w:szCs w:val="24"/>
          <w:highlight w:val="none"/>
        </w:rPr>
        <w:t xml:space="preserve">（灰尘、噪音等）。</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（3）施工期间要注意周边环境，尽量避免对周围居民生活的影响。        </w:t>
      </w:r>
      <w:r/>
    </w:p>
    <w:p>
      <w:pPr>
        <w:ind w:firstLine="518"/>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（4）冬、雨季施工要采取相应的保护措施。  </w:t>
      </w:r>
      <w:r/>
    </w:p>
    <w:p>
      <w:pPr>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四、需要补充的其它内容：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1、现场条件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(1)施工现场情况：本工程现场条件较复杂，请供应商务必自行认真踏勘现场条件并综合考虑到报价中，一旦中标不得对现场条件提出额外要求。</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(2)施工用水、电：自行解决。</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(3)场内外道路：已通。</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(4)其他：</w:t>
      </w:r>
      <w:r>
        <w:rPr>
          <w:rFonts w:ascii="宋体" w:hAnsi="宋体" w:cs="宋体"/>
          <w:color w:val="auto"/>
          <w:sz w:val="24"/>
          <w:szCs w:val="24"/>
          <w:highlight w:val="none"/>
        </w:rPr>
        <w:t xml:space="preserve">独立、有效的做好该工程周边群众工作，并充分考虑工程实施范围内外的单位、个人和其他可能出现阻挠施工的情况。</w:t>
      </w:r>
      <w:r>
        <w:rPr>
          <w:rFonts w:hint="eastAsia" w:ascii="宋体" w:hAnsi="宋体" w:cs="宋体"/>
          <w:color w:val="auto"/>
          <w:sz w:val="24"/>
          <w:szCs w:val="24"/>
          <w:highlight w:val="none"/>
        </w:rPr>
        <w:t xml:space="preserve">若因此发生的机械台班停置费、二次机械进退场费、人员窝工、处理周边群众纠纷等费用和损失等，由投标人自行考虑，并列入投标报价，工程结算时不作调整，一旦中标不得对现场条件提出任何额外要求及任何费用。包含但不限于施工时的保护措施、评审费用、群众工作等引起误工、安全围栏等，以上内容均由施工方负责，甲方不予签证，施工单位在投标前请务必认真踏勘现场，投标报价时综合考虑，费用均包含在总价之中。</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当招标人不统一组织现场踏勘时，请供应商务必自行认真踏勘现场条件并综合考虑到报价中，一旦中标不得对现场条件提出额外要求。</w:t>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ind w:firstLine="482"/>
        <w:jc w:val="left"/>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spacing w:line="360" w:lineRule="auto"/>
        <w:rPr>
          <w:rFonts w:hint="eastAsia" w:ascii="宋体" w:hAnsi="宋体"/>
          <w:b/>
          <w:color w:val="auto"/>
          <w:sz w:val="28"/>
          <w:szCs w:val="28"/>
          <w:highlight w:val="none"/>
        </w:rPr>
      </w:pPr>
      <w:r>
        <w:rPr>
          <w:rFonts w:hint="eastAsia" w:ascii="宋体" w:hAnsi="宋体"/>
          <w:b/>
          <w:color w:val="auto"/>
          <w:sz w:val="28"/>
          <w:szCs w:val="28"/>
          <w:highlight w:val="none"/>
        </w:rPr>
      </w:r>
      <w:r/>
    </w:p>
    <w:p>
      <w:pPr>
        <w:rPr>
          <w:rFonts w:hint="eastAsia" w:ascii="黑体" w:hAnsi="Times New Roman" w:eastAsia="黑体"/>
          <w:bCs/>
          <w:color w:val="auto"/>
          <w:sz w:val="44"/>
          <w:szCs w:val="28"/>
          <w:highlight w:val="none"/>
        </w:rPr>
      </w:pPr>
      <w:r/>
      <w:bookmarkStart w:id="831" w:name="_Toc120614281"/>
      <w:r>
        <w:rPr>
          <w:rFonts w:hint="eastAsia" w:ascii="黑体" w:hAnsi="Times New Roman" w:eastAsia="黑体"/>
          <w:bCs/>
          <w:color w:val="auto"/>
          <w:sz w:val="44"/>
          <w:szCs w:val="28"/>
          <w:highlight w:val="none"/>
        </w:rPr>
        <w:br w:type="page" w:clear="all"/>
      </w:r>
      <w:r/>
    </w:p>
    <w:p>
      <w:pPr>
        <w:jc w:val="center"/>
        <w:keepNext/>
        <w:spacing w:line="36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right="210" w:firstLine="560"/>
        <w:spacing w:line="520" w:lineRule="exact"/>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一、采购人组织磋商活动</w:t>
      </w:r>
      <w:r/>
    </w:p>
    <w:p>
      <w:pPr>
        <w:ind w:firstLine="482"/>
        <w:spacing w:line="520" w:lineRule="exact"/>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1、成立竞争性磋商小组。</w:t>
      </w:r>
      <w:r>
        <w:rPr>
          <w:rFonts w:ascii="宋体" w:hAnsi="宋体" w:cs="宋体"/>
          <w:color w:val="auto"/>
          <w:sz w:val="24"/>
          <w:szCs w:val="24"/>
          <w:highlight w:val="none"/>
          <w:lang w:val="zh-CN"/>
        </w:rPr>
        <w:t xml:space="preserve">竞争性磋商小组由采购人代表和评审专家共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人以上单数组成，其中评审专家人数不得少于竞争性磋商小组成员总数的2/3。</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spacing w:line="520" w:lineRule="exact"/>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2、竞争性磋商小组的职责：</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firstLine="480"/>
        <w:spacing w:line="520" w:lineRule="exact"/>
        <w:rPr>
          <w:rFonts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firstLine="482"/>
        <w:spacing w:line="520" w:lineRule="exact"/>
        <w:rPr>
          <w:rFonts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3、竞争性磋商小组成员的义务：</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二、评审程序、内容</w:t>
      </w:r>
      <w:r/>
    </w:p>
    <w:p>
      <w:pPr>
        <w:ind w:firstLine="480"/>
        <w:spacing w:line="40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firstLine="480"/>
        <w:spacing w:line="520" w:lineRule="exact"/>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firstLine="496"/>
        <w:spacing w:line="520" w:lineRule="exact"/>
        <w:rPr>
          <w:rFonts w:ascii="宋体" w:hAnsi="宋体"/>
          <w:b/>
          <w:color w:val="auto"/>
          <w:sz w:val="24"/>
          <w:szCs w:val="24"/>
          <w:highlight w:val="none"/>
        </w:rPr>
      </w:pPr>
      <w:r>
        <w:rPr>
          <w:rFonts w:ascii="宋体" w:hAnsi="宋体"/>
          <w:b/>
          <w:color w:val="auto"/>
          <w:sz w:val="24"/>
          <w:szCs w:val="24"/>
          <w:highlight w:val="none"/>
        </w:rPr>
        <w:t xml:space="preserve">三、评审方法-综合评分法</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94"/>
        <w:spacing w:line="520" w:lineRule="exact"/>
        <w:rPr>
          <w:rFonts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1、要求的保证金是否已提供；</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2、网上是否上传响应文件;</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3、供应商资格是否符合;</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4、响应文件是否完整；</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5、响应文件是否恰当地签署；</w:t>
      </w:r>
      <w:r/>
    </w:p>
    <w:p>
      <w:pPr>
        <w:ind w:firstLine="540"/>
        <w:spacing w:line="52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6、是否作出实质性响应（</w:t>
      </w:r>
      <w:r>
        <w:rPr>
          <w:rFonts w:hint="eastAsia" w:ascii="宋体" w:hAnsi="宋体"/>
          <w:b/>
          <w:color w:val="auto"/>
          <w:sz w:val="24"/>
          <w:szCs w:val="24"/>
          <w:highlight w:val="none"/>
        </w:rPr>
        <w:t xml:space="preserve">是否有实质性响应，只根据响应文件本身，而不寻求外部证据）；</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7、是否有计算错误。</w:t>
      </w:r>
      <w:r/>
    </w:p>
    <w:p>
      <w:pPr>
        <w:ind w:firstLine="482"/>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1、如果单价汇总金额与总价金额有出入，以单价金额计算结果为准；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2、单价金额小数点有明显错位的，应以总价为准；</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3、若文件大写表示的数据与数字表示的有差别，以大写表示的数据为准。</w:t>
      </w:r>
      <w:r/>
    </w:p>
    <w:p>
      <w:pPr>
        <w:ind w:firstLine="482"/>
        <w:spacing w:line="520" w:lineRule="exact"/>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1、未按照磋商文件规定要求签署、盖章的；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2、未完整上传响应文件电子文档的,或上传的文件打不开的；</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3、不具备磋商文件中规定的资格要求的；</w:t>
      </w:r>
      <w:r/>
    </w:p>
    <w:p>
      <w:pPr>
        <w:ind w:firstLine="570"/>
        <w:spacing w:line="520" w:lineRule="exact"/>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4、响应报价超出预算的；</w:t>
      </w:r>
      <w:r>
        <w:rPr>
          <w:rFonts w:hint="eastAsia" w:ascii="宋体" w:hAnsi="宋体"/>
          <w:color w:val="auto"/>
          <w:sz w:val="24"/>
          <w:szCs w:val="24"/>
          <w:highlight w:val="none"/>
        </w:rPr>
        <w:tab/>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5、不符合法律、法规和磋商文件中规定的其他实质性要求的。</w:t>
      </w:r>
      <w:r/>
    </w:p>
    <w:p>
      <w:pPr>
        <w:ind w:firstLine="570"/>
        <w:spacing w:line="52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firstLine="57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1、符合条件的供应商或者对磋商文件作实质响应的供应商不足3家的（市场竞争不充分的科研项目，以及需要扶持的科技成果转化项目可以是2家）；</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2、出现影响采购公正的违法违规行为的；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3、供应商的报价均超过了采购预算，采购人不能支付的；</w:t>
      </w:r>
      <w:r/>
    </w:p>
    <w:p>
      <w:pPr>
        <w:ind w:firstLine="555"/>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4、因重大变故，采购任务取消的。</w:t>
      </w:r>
      <w:r/>
    </w:p>
    <w:p>
      <w:pPr>
        <w:ind w:firstLine="480"/>
        <w:spacing w:line="5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41"/>
        <w:jc w:val="left"/>
        <w:spacing w:before="120" w:after="120"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四、政府采购政策功能落实</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1、小微型企业价格扣除</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（1）本项目对小型和微型企业产品给予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的扣除价格，用扣除后的价格参与评审。</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（2）供应商需按照采购文件的要求提供相应的《小微企业声明函》。</w:t>
      </w:r>
      <w:r/>
    </w:p>
    <w:p>
      <w:pPr>
        <w:ind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（3）企业标准请参照《关于印发中小企业划型标准规定的通知》（工信部联企业[2011]300号）文件规定自行填写。</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2、残疾人福利单位价格扣除</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（1）本项目对残疾人福利性单位视同小型、微型企业，给予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（2）残疾人福利单位需按照采购文件的要求提供《残疾人福利性单位声明函》。</w:t>
      </w:r>
      <w:r/>
    </w:p>
    <w:p>
      <w:pPr>
        <w:ind w:left="120" w:firstLine="36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（3）残疾人福利单位标准请参照《关于促进残疾人就业政府采购政策的通知》（财库〔2017〕141号）。</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3、监狱和戒毒企业价格扣除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（1）本项目对监狱和戒毒企业（简称监狱企业）视同小型、微型企业，给予</w:t>
      </w:r>
      <w:r>
        <w:rPr>
          <w:rFonts w:hint="eastAsia" w:ascii="宋体" w:hAnsi="宋体"/>
          <w:color w:val="auto"/>
          <w:sz w:val="24"/>
          <w:szCs w:val="24"/>
          <w:highlight w:val="none"/>
          <w:u w:val="single"/>
        </w:rPr>
        <w:t xml:space="preserve">5%</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（3）监狱企业标准请参照《关于政府采购支持监狱企业发展有关问题的通知》（</w:t>
      </w:r>
      <w:r>
        <w:rPr>
          <w:rFonts w:ascii="宋体" w:hAnsi="宋体"/>
          <w:color w:val="auto"/>
          <w:sz w:val="24"/>
          <w:szCs w:val="24"/>
          <w:highlight w:val="none"/>
        </w:rPr>
        <w:t xml:space="preserve">财库[2014]68号</w:t>
      </w:r>
      <w:r>
        <w:rPr>
          <w:rFonts w:hint="eastAsia" w:ascii="宋体" w:hAnsi="宋体"/>
          <w:color w:val="auto"/>
          <w:sz w:val="24"/>
          <w:szCs w:val="24"/>
          <w:highlight w:val="none"/>
        </w:rPr>
        <w:t xml:space="preserve">）。</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4、残疾人福利单位、监狱企业属于小型、微型企业的，不重复享受政策。</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spacing w:before="120" w:after="120" w:line="360" w:lineRule="auto"/>
        <w:rPr>
          <w:rFonts w:ascii="宋体" w:hAnsi="宋体"/>
          <w:color w:val="auto"/>
          <w:sz w:val="24"/>
          <w:szCs w:val="24"/>
          <w:highlight w:val="none"/>
        </w:rPr>
      </w:pPr>
      <w:r>
        <w:rPr>
          <w:rFonts w:hint="eastAsia" w:ascii="宋体" w:hAnsi="宋体"/>
          <w:color w:val="auto"/>
          <w:sz w:val="24"/>
          <w:szCs w:val="24"/>
          <w:highlight w:val="none"/>
        </w:rPr>
        <w:t xml:space="preserve">6、联合体各方均为小型、微型企业（残疾人福利单位、监狱企业）的，联合体享受</w:t>
      </w:r>
      <w:r>
        <w:rPr>
          <w:rFonts w:hint="eastAsia" w:ascii="宋体" w:hAnsi="宋体"/>
          <w:color w:val="auto"/>
          <w:sz w:val="24"/>
          <w:szCs w:val="24"/>
          <w:highlight w:val="none"/>
          <w:u w:val="single"/>
        </w:rPr>
        <w:t xml:space="preserve">3%</w:t>
      </w:r>
      <w:r>
        <w:rPr>
          <w:rFonts w:hint="eastAsia" w:ascii="宋体" w:hAnsi="宋体"/>
          <w:color w:val="auto"/>
          <w:sz w:val="24"/>
          <w:szCs w:val="24"/>
          <w:highlight w:val="none"/>
        </w:rPr>
        <w:t xml:space="preserve">价格扣除，用扣除后的价格参与评审。</w:t>
      </w:r>
      <w:r/>
    </w:p>
    <w:p>
      <w:pPr>
        <w:ind w:firstLine="480"/>
        <w:jc w:val="left"/>
        <w:spacing w:before="120" w:after="120" w:line="360" w:lineRule="auto"/>
        <w:rPr>
          <w:rFonts w:hint="eastAsia" w:ascii="宋体" w:hAnsi="宋体"/>
          <w:color w:val="auto"/>
          <w:sz w:val="24"/>
          <w:szCs w:val="24"/>
          <w:highlight w:val="none"/>
        </w:rPr>
      </w:pPr>
      <w:r>
        <w:rPr>
          <w:rFonts w:hint="eastAsia" w:ascii="宋体" w:hAnsi="宋体" w:cs="宋体"/>
          <w:color w:val="auto"/>
          <w:sz w:val="24"/>
          <w:highlight w:val="none"/>
          <w:lang w:bidi="ar"/>
        </w:rPr>
        <w:t xml:space="preserve">7、专门面向中小企业采购的项目或者采购包，不再执行价格评审优惠的扶持政策。</w:t>
      </w:r>
      <w:r/>
    </w:p>
    <w:p>
      <w:pPr>
        <w:spacing w:line="360" w:lineRule="auto"/>
        <w:rPr>
          <w:rFonts w:hint="eastAsia" w:ascii="宋体" w:hAnsi="宋体" w:cs="宋体"/>
          <w:bCs/>
          <w:color w:val="auto"/>
          <w:sz w:val="24"/>
          <w:szCs w:val="24"/>
          <w:highlight w:val="none"/>
        </w:rPr>
      </w:pPr>
      <w:r>
        <w:rPr>
          <w:rFonts w:hint="eastAsia" w:ascii="宋体" w:hAnsi="宋体"/>
          <w:b/>
          <w:color w:val="auto"/>
          <w:sz w:val="24"/>
          <w:szCs w:val="24"/>
          <w:highlight w:val="none"/>
        </w:rPr>
        <w:t xml:space="preserve">五、评审方法与评审标准</w:t>
      </w:r>
      <w:r/>
    </w:p>
    <w:p>
      <w:pPr>
        <w:ind w:firstLine="480"/>
        <w:spacing w:line="360" w:lineRule="auto"/>
        <w:rPr>
          <w:rFonts w:hint="eastAsia" w:ascii="Times New Roman" w:hAnsi="Times New Roman" w:cs="宋体"/>
          <w:color w:val="auto"/>
          <w:sz w:val="24"/>
          <w:szCs w:val="24"/>
          <w:highlight w:val="none"/>
        </w:rPr>
      </w:pPr>
      <w:r/>
      <w:bookmarkStart w:id="832" w:name="_Toc479962294"/>
      <w:r>
        <w:rPr>
          <w:rFonts w:hint="eastAsia" w:ascii="Times New Roman" w:hAnsi="Times New Roman" w:cs="宋体"/>
          <w:color w:val="auto"/>
          <w:sz w:val="24"/>
          <w:szCs w:val="24"/>
          <w:highlight w:val="none"/>
        </w:rPr>
        <w:t xml:space="preserve">本项目总分值为</w:t>
      </w:r>
      <w:r>
        <w:rPr>
          <w:rFonts w:ascii="Times New Roman" w:hAnsi="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分，其中商务技术部分</w:t>
      </w:r>
      <w:r>
        <w:rPr>
          <w:rFonts w:hint="eastAsia"/>
          <w:color w:val="auto"/>
          <w:sz w:val="24"/>
          <w:szCs w:val="24"/>
          <w:highlight w:val="none"/>
          <w:lang w:val="en-US" w:eastAsia="zh-CN"/>
        </w:rPr>
        <w:t xml:space="preserve">5</w:t>
      </w:r>
      <w:r>
        <w:rPr>
          <w:rFonts w:hint="eastAsia"/>
          <w:color w:val="auto"/>
          <w:sz w:val="24"/>
          <w:szCs w:val="24"/>
          <w:highlight w:val="none"/>
        </w:rPr>
        <w:t xml:space="preserve">0</w:t>
      </w:r>
      <w:r>
        <w:rPr>
          <w:rFonts w:hint="eastAsia" w:ascii="Times New Roman" w:hAnsi="Times New Roman" w:cs="宋体"/>
          <w:color w:val="auto"/>
          <w:sz w:val="24"/>
          <w:szCs w:val="24"/>
          <w:highlight w:val="none"/>
        </w:rPr>
        <w:t xml:space="preserve">分，</w:t>
      </w:r>
      <w:r>
        <w:rPr>
          <w:rFonts w:hint="eastAsia" w:ascii="Times New Roman" w:hAnsi="Times New Roman"/>
          <w:color w:val="auto"/>
          <w:sz w:val="24"/>
          <w:szCs w:val="24"/>
          <w:highlight w:val="none"/>
        </w:rPr>
        <w:t xml:space="preserve">价格部分</w:t>
      </w:r>
      <w:r>
        <w:rPr>
          <w:rFonts w:hint="eastAsia"/>
          <w:color w:val="auto"/>
          <w:sz w:val="24"/>
          <w:szCs w:val="24"/>
          <w:highlight w:val="none"/>
          <w:lang w:val="en-US" w:eastAsia="zh-CN"/>
        </w:rPr>
        <w:t xml:space="preserve">5</w:t>
      </w:r>
      <w:r>
        <w:rPr>
          <w:rFonts w:hint="eastAsia"/>
          <w:color w:val="auto"/>
          <w:sz w:val="24"/>
          <w:szCs w:val="24"/>
          <w:highlight w:val="none"/>
        </w:rPr>
        <w:t xml:space="preserve">0</w:t>
      </w:r>
      <w:r>
        <w:rPr>
          <w:rFonts w:hint="eastAsia" w:ascii="Times New Roman" w:hAnsi="Times New Roman"/>
          <w:color w:val="auto"/>
          <w:sz w:val="24"/>
          <w:szCs w:val="24"/>
          <w:highlight w:val="none"/>
        </w:rPr>
        <w:t xml:space="preserve">分；</w:t>
      </w:r>
      <w:r>
        <w:rPr>
          <w:rFonts w:hint="eastAsia" w:ascii="Times New Roman" w:hAnsi="Times New Roman" w:cs="宋体"/>
          <w:color w:val="auto"/>
          <w:sz w:val="24"/>
          <w:szCs w:val="24"/>
          <w:highlight w:val="none"/>
        </w:rPr>
        <w:t xml:space="preserve">投标得分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商务</w:t>
      </w:r>
      <w:r>
        <w:rPr>
          <w:rFonts w:hint="eastAsia" w:ascii="Times New Roman" w:hAnsi="Times New Roman" w:cs="宋体"/>
          <w:color w:val="auto"/>
          <w:sz w:val="24"/>
          <w:szCs w:val="24"/>
          <w:highlight w:val="none"/>
        </w:rPr>
        <w:t xml:space="preserve">技术部分得分+价格部分得分。</w:t>
      </w:r>
      <w:bookmarkStart w:id="833" w:name="_Toc474229428"/>
      <w:r/>
      <w:bookmarkEnd w:id="833"/>
      <w:r/>
      <w:bookmarkStart w:id="834" w:name="_Toc184635088"/>
      <w:r/>
      <w:bookmarkEnd w:id="834"/>
      <w:r/>
      <w:bookmarkStart w:id="835" w:name="_Toc12009"/>
      <w:r/>
      <w:bookmarkEnd w:id="835"/>
      <w:r/>
      <w:r/>
    </w:p>
    <w:p>
      <w:pPr>
        <w:numPr>
          <w:ilvl w:val="0"/>
          <w:numId w:val="7"/>
        </w:numPr>
        <w:ind w:right="-147"/>
        <w:spacing w:line="360" w:lineRule="auto"/>
        <w:tabs>
          <w:tab w:val="left" w:pos="375" w:leader="none"/>
        </w:tabs>
        <w:rPr>
          <w:rFonts w:ascii="宋体" w:hAnsi="宋体"/>
          <w:color w:val="auto"/>
          <w:sz w:val="24"/>
          <w:szCs w:val="24"/>
          <w:highlight w:val="none"/>
        </w:rPr>
      </w:pP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0分）</w:t>
      </w:r>
      <w:r/>
    </w:p>
    <w:tbl>
      <w:tblPr>
        <w:tblStyle w:val="942"/>
        <w:tblW w:w="943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9"/>
        <w:gridCol w:w="1959"/>
        <w:gridCol w:w="6989"/>
      </w:tblGrid>
      <w:tr>
        <w:trPr>
          <w:trHeight w:val="4049"/>
        </w:trPr>
        <w:tc>
          <w:tcPr>
            <w:tcW w:w="489" w:type="dxa"/>
            <w:vAlign w:val="center"/>
            <w:textDirection w:val="lrTb"/>
            <w:noWrap w:val="false"/>
          </w:tcPr>
          <w:p>
            <w:pPr>
              <w:ind w:right="105"/>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959" w:type="dxa"/>
            <w:vAlign w:val="center"/>
            <w:textDirection w:val="lrTb"/>
            <w:noWrap w:val="false"/>
          </w:tcPr>
          <w:p>
            <w:pPr>
              <w:ind w:right="105"/>
              <w:jc w:val="left"/>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施工组织设计评审（</w:t>
            </w:r>
            <w:r>
              <w:rPr>
                <w:rFonts w:hint="eastAsia" w:ascii="宋体" w:hAnsi="宋体" w:cs="宋体"/>
                <w:color w:val="auto"/>
                <w:szCs w:val="21"/>
                <w:highlight w:val="none"/>
                <w:lang w:val="en-US" w:eastAsia="zh-CN"/>
              </w:rPr>
              <w:t xml:space="preserve">40</w:t>
            </w:r>
            <w:r>
              <w:rPr>
                <w:rFonts w:hint="eastAsia" w:ascii="宋体" w:hAnsi="宋体" w:cs="宋体"/>
                <w:color w:val="auto"/>
                <w:szCs w:val="21"/>
                <w:highlight w:val="none"/>
              </w:rPr>
              <w:t xml:space="preserve">分）</w:t>
            </w:r>
            <w:r/>
          </w:p>
        </w:tc>
        <w:tc>
          <w:tcPr>
            <w:tcW w:w="6989" w:type="dxa"/>
            <w:vAlign w:val="center"/>
            <w:textDirection w:val="lrTb"/>
            <w:noWrap w:val="false"/>
          </w:tcPr>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1、施工组织总体设想、方案针对性。</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2、施工现场平面布置和临时设施布置方案。</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3、施工进度计划和各阶段进度的保证措施（提供横道图，不提供不得分）。</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4、各阶段质量保证措施。</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5、安全文明施工保证措施。</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6、劳动力、机械设备和材料。</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7、关键施工技术及项目实施的重点、难点和解决方案。</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8、减弱噪声措施比较。</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9、突发事件的应急情况、相关应急措施。</w:t>
            </w:r>
            <w:r/>
          </w:p>
          <w:p>
            <w:pPr>
              <w:ind w:right="105"/>
              <w:jc w:val="left"/>
              <w:spacing w:line="400" w:lineRule="exact"/>
              <w:rPr>
                <w:rFonts w:hint="eastAsia" w:cs="Times New Roman"/>
                <w:color w:val="auto"/>
                <w:highlight w:val="none"/>
                <w:lang w:val="en-US" w:eastAsia="zh-CN"/>
              </w:rPr>
            </w:pPr>
            <w:r>
              <w:rPr>
                <w:rFonts w:hint="eastAsia" w:cs="Times New Roman"/>
                <w:color w:val="auto"/>
                <w:highlight w:val="none"/>
                <w:lang w:val="en-US" w:eastAsia="zh-CN"/>
              </w:rPr>
              <w:t xml:space="preserve">10、新技术、新产品、新工艺、新材料应用。</w:t>
            </w:r>
            <w:r/>
          </w:p>
          <w:p>
            <w:pPr>
              <w:ind w:right="105"/>
              <w:jc w:val="left"/>
              <w:spacing w:line="400" w:lineRule="exact"/>
              <w:rPr>
                <w:rFonts w:ascii="Calibri" w:hAnsi="Calibri" w:eastAsia="宋体"/>
                <w:color w:val="auto"/>
                <w:sz w:val="21"/>
                <w:szCs w:val="22"/>
                <w:highlight w:val="none"/>
              </w:rPr>
            </w:pPr>
            <w:r>
              <w:rPr>
                <w:rFonts w:hint="eastAsia" w:cs="Times New Roman"/>
                <w:color w:val="auto"/>
                <w:highlight w:val="none"/>
                <w:lang w:val="en-US" w:eastAsia="zh-CN"/>
              </w:rPr>
              <w:t xml:space="preserve">以上每个单项中方案优于或完全满足本项目需求的得4分，基本满足的得2分，部分满足的得1分，不提供不得分。</w:t>
            </w:r>
            <w:r/>
          </w:p>
        </w:tc>
      </w:tr>
      <w:tr>
        <w:trPr>
          <w:trHeight w:val="426"/>
        </w:trPr>
        <w:tc>
          <w:tcPr>
            <w:tcW w:w="489" w:type="dxa"/>
            <w:vAlign w:val="center"/>
            <w:textDirection w:val="lrTb"/>
            <w:noWrap w:val="false"/>
          </w:tcPr>
          <w:p>
            <w:pPr>
              <w:ind w:right="105"/>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1959" w:type="dxa"/>
            <w:vAlign w:val="center"/>
            <w:textDirection w:val="lrTb"/>
            <w:noWrap w:val="false"/>
          </w:tcPr>
          <w:p>
            <w:pPr>
              <w:jc w:val="center"/>
              <w:spacing w:line="500" w:lineRule="exact"/>
              <w:rPr>
                <w:rFonts w:hint="eastAsia" w:ascii="宋体" w:hAnsi="宋体" w:cs="宋体"/>
                <w:color w:val="auto"/>
                <w:szCs w:val="21"/>
                <w:highlight w:val="none"/>
              </w:rPr>
            </w:pPr>
            <w:r>
              <w:rPr>
                <w:rFonts w:hint="eastAsia" w:ascii="宋体" w:hAnsi="宋体"/>
                <w:color w:val="auto"/>
                <w:szCs w:val="21"/>
                <w:highlight w:val="none"/>
              </w:rPr>
              <w:t xml:space="preserve">业绩（5</w:t>
            </w:r>
            <w:r>
              <w:rPr>
                <w:rFonts w:hint="eastAsia" w:ascii="宋体" w:hAnsi="宋体"/>
                <w:color w:val="auto"/>
                <w:szCs w:val="21"/>
                <w:highlight w:val="none"/>
                <w:lang w:val="en-US" w:eastAsia="zh-CN"/>
              </w:rPr>
              <w:t xml:space="preserve">分</w:t>
            </w:r>
            <w:r>
              <w:rPr>
                <w:rFonts w:hint="eastAsia" w:ascii="宋体" w:hAnsi="宋体"/>
                <w:color w:val="auto"/>
                <w:szCs w:val="21"/>
                <w:highlight w:val="none"/>
              </w:rPr>
              <w:t xml:space="preserve">）</w:t>
            </w:r>
            <w:r/>
          </w:p>
        </w:tc>
        <w:tc>
          <w:tcPr>
            <w:tcW w:w="6989" w:type="dxa"/>
            <w:vAlign w:val="top"/>
            <w:textDirection w:val="lrTb"/>
            <w:noWrap w:val="false"/>
          </w:tcPr>
          <w:p>
            <w:pPr>
              <w:jc w:val="left"/>
              <w:spacing w:line="500" w:lineRule="exact"/>
              <w:rPr>
                <w:rFonts w:hint="eastAsia" w:ascii="Times New Roman" w:hAnsi="Times New Roman" w:cs="Times New Roman"/>
                <w:color w:val="auto"/>
                <w:highlight w:val="none"/>
              </w:rPr>
            </w:pPr>
            <w:r>
              <w:rPr>
                <w:rFonts w:hint="eastAsia" w:ascii="Times New Roman" w:hAnsi="Times New Roman" w:cs="Times New Roman"/>
                <w:color w:val="auto"/>
                <w:highlight w:val="none"/>
                <w:lang w:val="en-US" w:eastAsia="zh-CN"/>
              </w:rPr>
              <w:t xml:space="preserve">供应商</w:t>
            </w:r>
            <w:r>
              <w:rPr>
                <w:rFonts w:hint="eastAsia" w:ascii="Times New Roman" w:hAnsi="Times New Roman" w:cs="Times New Roman"/>
                <w:color w:val="auto"/>
                <w:highlight w:val="none"/>
              </w:rPr>
              <w:t xml:space="preserve">完成过类似项目每有一个得</w:t>
            </w:r>
            <w:r>
              <w:rPr>
                <w:rFonts w:hint="eastAsia" w:ascii="Times New Roman" w:hAnsi="Times New Roman" w:cs="Times New Roman"/>
                <w:color w:val="auto"/>
                <w:highlight w:val="none"/>
                <w:lang w:val="en-US" w:eastAsia="zh-CN"/>
              </w:rPr>
              <w:t xml:space="preserve">2.5</w:t>
            </w:r>
            <w:r>
              <w:rPr>
                <w:rFonts w:hint="eastAsia" w:ascii="Times New Roman" w:hAnsi="Times New Roman" w:cs="Times New Roman"/>
                <w:color w:val="auto"/>
                <w:highlight w:val="none"/>
              </w:rPr>
              <w:t xml:space="preserve">分，最多得</w:t>
            </w:r>
            <w:r>
              <w:rPr>
                <w:rFonts w:hint="eastAsia" w:ascii="Times New Roman" w:hAnsi="Times New Roman" w:cs="Times New Roman"/>
                <w:color w:val="auto"/>
                <w:highlight w:val="none"/>
                <w:lang w:val="en-US" w:eastAsia="zh-CN"/>
              </w:rPr>
              <w:t xml:space="preserve">5</w:t>
            </w:r>
            <w:r>
              <w:rPr>
                <w:rFonts w:hint="eastAsia" w:ascii="Times New Roman" w:hAnsi="Times New Roman" w:cs="Times New Roman"/>
                <w:color w:val="auto"/>
                <w:highlight w:val="none"/>
              </w:rPr>
              <w:t xml:space="preserve">分。须提供中标通知书、施工合同和竣工验收证明，缺一不可，否则不得分（提供复印件）。</w:t>
            </w:r>
            <w:r/>
          </w:p>
        </w:tc>
      </w:tr>
      <w:tr>
        <w:trPr>
          <w:trHeight w:val="426"/>
        </w:trPr>
        <w:tc>
          <w:tcPr>
            <w:tcW w:w="489" w:type="dxa"/>
            <w:vAlign w:val="center"/>
            <w:textDirection w:val="lrTb"/>
            <w:noWrap w:val="false"/>
          </w:tcPr>
          <w:p>
            <w:pPr>
              <w:ind w:right="105"/>
              <w:jc w:val="center"/>
              <w:spacing w:line="40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1959" w:type="dxa"/>
            <w:vAlign w:val="center"/>
            <w:textDirection w:val="lrTb"/>
            <w:noWrap w:val="false"/>
          </w:tcPr>
          <w:p>
            <w:pPr>
              <w:jc w:val="center"/>
              <w:spacing w:line="500" w:lineRule="exact"/>
              <w:rPr>
                <w:rFonts w:hint="eastAsia" w:ascii="宋体" w:hAnsi="宋体"/>
                <w:color w:val="auto"/>
                <w:szCs w:val="21"/>
                <w:highlight w:val="none"/>
              </w:rPr>
            </w:pPr>
            <w:r>
              <w:rPr>
                <w:rFonts w:hint="eastAsia" w:ascii="宋体" w:hAnsi="宋体"/>
                <w:color w:val="auto"/>
                <w:szCs w:val="21"/>
                <w:highlight w:val="none"/>
              </w:rPr>
              <w:t xml:space="preserve">人员资历（</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tc>
        <w:tc>
          <w:tcPr>
            <w:tcW w:w="6989" w:type="dxa"/>
            <w:vAlign w:val="top"/>
            <w:textDirection w:val="lrTb"/>
            <w:noWrap w:val="false"/>
          </w:tcPr>
          <w:p>
            <w:pPr>
              <w:jc w:val="left"/>
              <w:spacing w:line="500" w:lineRule="exact"/>
              <w:rPr>
                <w:rFonts w:hint="eastAsia" w:ascii="Times New Roman" w:hAnsi="Times New Roman" w:cs="Times New Roman"/>
                <w:color w:val="auto"/>
                <w:highlight w:val="none"/>
              </w:rPr>
            </w:pPr>
            <w:r>
              <w:rPr>
                <w:rFonts w:hint="eastAsia" w:ascii="Times New Roman" w:hAnsi="Times New Roman" w:cs="Times New Roman"/>
                <w:color w:val="auto"/>
                <w:highlight w:val="none"/>
              </w:rPr>
              <w:t xml:space="preserve">拟派的项目组成人员（项目负责人、技术负责人、安全员、质量员、施工员），具有中级工程师职称的有1个得</w:t>
            </w:r>
            <w:r>
              <w:rPr>
                <w:rFonts w:hint="eastAsia" w:ascii="Times New Roman" w:hAnsi="Times New Roman" w:cs="Times New Roman"/>
                <w:color w:val="auto"/>
                <w:highlight w:val="none"/>
                <w:lang w:val="en-US" w:eastAsia="zh-CN"/>
              </w:rPr>
              <w:t xml:space="preserve">0.5</w:t>
            </w:r>
            <w:r>
              <w:rPr>
                <w:rFonts w:hint="eastAsia" w:ascii="Times New Roman" w:hAnsi="Times New Roman" w:cs="Times New Roman"/>
                <w:color w:val="auto"/>
                <w:highlight w:val="none"/>
              </w:rPr>
              <w:t xml:space="preserve">分，最多</w:t>
            </w:r>
            <w:r>
              <w:rPr>
                <w:rFonts w:hint="eastAsia" w:ascii="Times New Roman" w:hAnsi="Times New Roman" w:cs="Times New Roman"/>
                <w:color w:val="auto"/>
                <w:highlight w:val="none"/>
                <w:lang w:val="en-US" w:eastAsia="zh-CN"/>
              </w:rPr>
              <w:t xml:space="preserve">2.</w:t>
            </w:r>
            <w:r>
              <w:rPr>
                <w:rFonts w:hint="eastAsia" w:ascii="Times New Roman" w:hAnsi="Times New Roman" w:cs="Times New Roman"/>
                <w:color w:val="auto"/>
                <w:highlight w:val="none"/>
              </w:rPr>
              <w:t xml:space="preserve">5分；如为高级工程师及以上职称的，有1个得</w:t>
            </w:r>
            <w:r>
              <w:rPr>
                <w:rFonts w:hint="eastAsia" w:ascii="Times New Roman" w:hAnsi="Times New Roman" w:cs="Times New Roman"/>
                <w:color w:val="auto"/>
                <w:highlight w:val="none"/>
                <w:lang w:val="en-US" w:eastAsia="zh-CN"/>
              </w:rPr>
              <w:t xml:space="preserve">1</w:t>
            </w:r>
            <w:r>
              <w:rPr>
                <w:rFonts w:hint="eastAsia" w:ascii="Times New Roman" w:hAnsi="Times New Roman" w:cs="Times New Roman"/>
                <w:color w:val="auto"/>
                <w:highlight w:val="none"/>
              </w:rPr>
              <w:t xml:space="preserve">分；本项最多</w:t>
            </w:r>
            <w:r>
              <w:rPr>
                <w:rFonts w:hint="eastAsia" w:ascii="Times New Roman" w:hAnsi="Times New Roman" w:cs="Times New Roman"/>
                <w:color w:val="auto"/>
                <w:highlight w:val="none"/>
                <w:lang w:val="en-US" w:eastAsia="zh-CN"/>
              </w:rPr>
              <w:t xml:space="preserve">5</w:t>
            </w:r>
            <w:r>
              <w:rPr>
                <w:rFonts w:hint="eastAsia" w:ascii="Times New Roman" w:hAnsi="Times New Roman" w:cs="Times New Roman"/>
                <w:color w:val="auto"/>
                <w:highlight w:val="none"/>
              </w:rPr>
              <w:t xml:space="preserve">分。提供拟派的项目组成人员一览表、职称证书、岗位证书及202</w:t>
            </w:r>
            <w:r>
              <w:rPr>
                <w:rFonts w:hint="eastAsia" w:ascii="Times New Roman" w:hAnsi="Times New Roman" w:cs="Times New Roman"/>
                <w:color w:val="auto"/>
                <w:highlight w:val="none"/>
                <w:lang w:val="en-US" w:eastAsia="zh-CN"/>
              </w:rPr>
              <w:t xml:space="preserve">5</w:t>
            </w:r>
            <w:r>
              <w:rPr>
                <w:rFonts w:hint="eastAsia" w:ascii="Times New Roman" w:hAnsi="Times New Roman" w:cs="Times New Roman"/>
                <w:color w:val="auto"/>
                <w:highlight w:val="none"/>
              </w:rPr>
              <w:t xml:space="preserve">年</w:t>
            </w:r>
            <w:r>
              <w:rPr>
                <w:rFonts w:hint="eastAsia" w:ascii="Times New Roman" w:hAnsi="Times New Roman" w:cs="Times New Roman"/>
                <w:color w:val="auto"/>
                <w:highlight w:val="none"/>
                <w:lang w:val="en-US" w:eastAsia="zh-CN"/>
              </w:rPr>
              <w:t xml:space="preserve">7</w:t>
            </w:r>
            <w:r>
              <w:rPr>
                <w:rFonts w:hint="eastAsia" w:ascii="Times New Roman" w:hAnsi="Times New Roman" w:cs="Times New Roman"/>
                <w:color w:val="auto"/>
                <w:highlight w:val="none"/>
              </w:rPr>
              <w:t xml:space="preserve">月至 202</w:t>
            </w:r>
            <w:r>
              <w:rPr>
                <w:rFonts w:hint="eastAsia" w:ascii="Times New Roman" w:hAnsi="Times New Roman" w:cs="Times New Roman"/>
                <w:color w:val="auto"/>
                <w:highlight w:val="none"/>
                <w:lang w:val="en-US" w:eastAsia="zh-CN"/>
              </w:rPr>
              <w:t xml:space="preserve">5</w:t>
            </w:r>
            <w:r>
              <w:rPr>
                <w:rFonts w:hint="eastAsia" w:ascii="Times New Roman" w:hAnsi="Times New Roman" w:cs="Times New Roman"/>
                <w:color w:val="auto"/>
                <w:highlight w:val="none"/>
              </w:rPr>
              <w:t xml:space="preserve">年</w:t>
            </w:r>
            <w:r>
              <w:rPr>
                <w:rFonts w:hint="eastAsia" w:ascii="Times New Roman" w:hAnsi="Times New Roman" w:cs="Times New Roman"/>
                <w:color w:val="auto"/>
                <w:highlight w:val="none"/>
                <w:lang w:val="en-US" w:eastAsia="zh-CN"/>
              </w:rPr>
              <w:t xml:space="preserve">9</w:t>
            </w:r>
            <w:r>
              <w:rPr>
                <w:rFonts w:hint="eastAsia" w:ascii="Times New Roman" w:hAnsi="Times New Roman" w:cs="Times New Roman"/>
                <w:color w:val="auto"/>
                <w:highlight w:val="none"/>
              </w:rPr>
              <w:t xml:space="preserve">月任意1个月的养老保险缴费证明复印件。拟派项目负责人如为退休人员，无需提供社保证明，但须提供退休证明及返聘（合同）证明。</w:t>
            </w:r>
            <w:r/>
          </w:p>
        </w:tc>
      </w:tr>
    </w:tbl>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商务技术标部分评审时，评标委员会成员分别对每个有效投标人的标书进行评价、打分。技术分按算术平均值计算。分值四舍五入，保留小数点后两位。</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注：①请供应商对“评分标准表”中的所有打分项逐一响应并提供证明文件（复印件），放在“商务技术响应材料”中。 </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②请供应商制作磋商响应文件的时保证图片、文字材料的完整、清晰可辨，任何原因导致评委看不清楚或无法查看，后果由供应商自负。</w:t>
      </w:r>
      <w:r/>
    </w:p>
    <w:p>
      <w:pPr>
        <w:ind w:firstLine="482"/>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249"/>
        <w:ind w:firstLine="0"/>
        <w:spacing w:line="360" w:lineRule="auto"/>
        <w:rPr>
          <w:rFonts w:hint="eastAsia" w:ascii="宋体" w:hAnsi="宋体" w:eastAsia="宋体"/>
          <w:color w:val="auto"/>
          <w:sz w:val="24"/>
          <w:szCs w:val="24"/>
          <w:highlight w:val="none"/>
        </w:rPr>
      </w:pPr>
      <w:r>
        <w:rPr>
          <w:rFonts w:hint="eastAsia" w:ascii="宋体" w:hAnsi="宋体" w:eastAsia="宋体"/>
          <w:b/>
          <w:bCs/>
          <w:color w:val="auto"/>
          <w:sz w:val="24"/>
          <w:szCs w:val="24"/>
          <w:highlight w:val="none"/>
        </w:rPr>
        <w:t xml:space="preserve">（二）价格标部分（</w:t>
      </w:r>
      <w:r>
        <w:rPr>
          <w:rFonts w:hint="eastAsia" w:ascii="宋体" w:hAnsi="宋体" w:eastAsia="宋体"/>
          <w:b/>
          <w:bCs/>
          <w:color w:val="auto"/>
          <w:sz w:val="24"/>
          <w:szCs w:val="24"/>
          <w:highlight w:val="none"/>
          <w:lang w:val="en-US" w:eastAsia="zh-CN"/>
        </w:rPr>
        <w:t xml:space="preserve">5</w:t>
      </w:r>
      <w:r>
        <w:rPr>
          <w:rFonts w:hint="eastAsia" w:ascii="宋体" w:hAnsi="宋体" w:eastAsia="宋体"/>
          <w:b/>
          <w:bCs/>
          <w:color w:val="auto"/>
          <w:sz w:val="24"/>
          <w:szCs w:val="24"/>
          <w:highlight w:val="none"/>
        </w:rPr>
        <w:t xml:space="preserve">0分）</w:t>
      </w:r>
      <w:bookmarkEnd w:id="832"/>
      <w:r/>
      <w:r/>
    </w:p>
    <w:tbl>
      <w:tblPr>
        <w:tblStyle w:val="942"/>
        <w:tblpPr w:horzAnchor="page" w:tblpX="1280" w:vertAnchor="text" w:tblpY="250" w:leftFromText="180" w:topFromText="0" w:rightFromText="180" w:bottomFromText="0"/>
        <w:tblW w:w="9605"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115"/>
        <w:gridCol w:w="690"/>
        <w:gridCol w:w="7800"/>
      </w:tblGrid>
      <w:tr>
        <w:trPr>
          <w:trHeight w:val="435"/>
        </w:trPr>
        <w:tc>
          <w:tcPr>
            <w:tcW w:w="1115"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评标内容</w:t>
            </w:r>
            <w:r/>
          </w:p>
        </w:tc>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tcW w:w="780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r>
      <w:tr>
        <w:trPr>
          <w:trHeight w:val="1635"/>
        </w:trPr>
        <w:tc>
          <w:tcPr>
            <w:tcW w:w="1115"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价格标得分 </w:t>
            </w:r>
            <w:r/>
          </w:p>
        </w:tc>
        <w:tc>
          <w:tcPr>
            <w:tcW w:w="690" w:type="dxa"/>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w:t>
            </w:r>
            <w:r/>
          </w:p>
        </w:tc>
        <w:tc>
          <w:tcPr>
            <w:tcW w:w="7800" w:type="dxa"/>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0（分值四舍五入，保留小数点后两位）</w:t>
            </w:r>
            <w:r/>
          </w:p>
        </w:tc>
      </w:tr>
    </w:tbl>
    <w:p>
      <w:pPr>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default"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default" w:ascii="宋体" w:hAnsi="宋体" w:cs="宋体"/>
          <w:bCs/>
          <w:color w:val="auto"/>
          <w:sz w:val="24"/>
          <w:szCs w:val="24"/>
          <w:highlight w:val="none"/>
          <w:lang w:val="en-US" w:eastAsia="zh-CN"/>
        </w:rPr>
        <w:t xml:space="preserve">评审过程中出现下列情形之一的，</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应当启动异常低价投标（响应）审查程序：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（1）</w:t>
      </w:r>
      <w:r>
        <w:rPr>
          <w:rFonts w:hint="default" w:ascii="宋体" w:hAnsi="宋体" w:cs="宋体"/>
          <w:bCs/>
          <w:color w:val="auto"/>
          <w:sz w:val="24"/>
          <w:szCs w:val="24"/>
          <w:highlight w:val="none"/>
          <w:lang w:val="en-US" w:eastAsia="zh-CN"/>
        </w:rPr>
        <w:t xml:space="preserve">投标（响应）报价低于采购项目预算50%的，即投标（响应）报价&lt;采购项目预算×50%；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（2）</w:t>
      </w:r>
      <w:r>
        <w:rPr>
          <w:rFonts w:hint="default" w:ascii="宋体" w:hAnsi="宋体" w:cs="宋体"/>
          <w:bCs/>
          <w:color w:val="auto"/>
          <w:sz w:val="24"/>
          <w:szCs w:val="24"/>
          <w:highlight w:val="none"/>
          <w:lang w:val="en-US" w:eastAsia="zh-CN"/>
        </w:rPr>
        <w:t xml:space="preserve">投标（响应）报价低于采购项目最高限价45%的，即投标（响应）报价&lt;采购项目最高限价×45%； </w:t>
      </w:r>
      <w:r/>
    </w:p>
    <w:p>
      <w:pPr>
        <w:ind w:firstLine="48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en-US" w:eastAsia="zh-CN"/>
        </w:rPr>
        <w:t xml:space="preserve">（3）</w:t>
      </w:r>
      <w:r>
        <w:rPr>
          <w:rFonts w:hint="default" w:ascii="宋体" w:hAnsi="宋体" w:cs="宋体"/>
          <w:bCs/>
          <w:color w:val="auto"/>
          <w:sz w:val="24"/>
          <w:szCs w:val="24"/>
          <w:highlight w:val="none"/>
          <w:lang w:val="en-US" w:eastAsia="zh-CN"/>
        </w:rPr>
        <w:t xml:space="preserve">评审委员会认定的供应商报价过低、有可能影响产品质量或者不能诚信履约的其他情形。 </w:t>
      </w:r>
      <w:r/>
    </w:p>
    <w:p>
      <w:pPr>
        <w:ind w:firstLine="480"/>
        <w:spacing w:line="360" w:lineRule="auto"/>
        <w:widowControl/>
        <w:tabs>
          <w:tab w:val="left" w:pos="0" w:leader="none"/>
          <w:tab w:val="left" w:pos="993" w:leader="none"/>
          <w:tab w:val="left" w:pos="1134"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default" w:ascii="宋体" w:hAnsi="宋体" w:cs="宋体"/>
          <w:bCs/>
          <w:color w:val="auto"/>
          <w:sz w:val="24"/>
          <w:szCs w:val="24"/>
          <w:highlight w:val="none"/>
          <w:lang w:val="en-US" w:eastAsia="zh-CN"/>
        </w:rPr>
        <w:t xml:space="preserve">启动异常低价投标（响应）审查后，</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应当要求相关供应商在评标现场合理的时间内，提供项目具体成本测算等与报价合理性相关的书面说明及相关证明材料，对投标（响应）价格作出解释，由</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cs="宋体"/>
          <w:bCs/>
          <w:color w:val="auto"/>
          <w:sz w:val="24"/>
          <w:szCs w:val="24"/>
          <w:highlight w:val="none"/>
          <w:lang w:val="en-US" w:eastAsia="zh-CN"/>
        </w:rPr>
        <w:t xml:space="preserve">磋商小组</w:t>
      </w:r>
      <w:r>
        <w:rPr>
          <w:rFonts w:hint="default" w:ascii="宋体" w:hAnsi="宋体" w:cs="宋体"/>
          <w:bCs/>
          <w:color w:val="auto"/>
          <w:sz w:val="24"/>
          <w:szCs w:val="24"/>
          <w:highlight w:val="none"/>
          <w:lang w:val="en-US" w:eastAsia="zh-CN"/>
        </w:rPr>
        <w:t xml:space="preserve">应当将其作为无效投标（响应）处理。审查相关情况应当在评审报告中进行记录。</w:t>
      </w:r>
      <w:r/>
    </w:p>
    <w:p>
      <w:pPr>
        <w:jc w:val="left"/>
        <w:keepLines/>
        <w:keepNext/>
        <w:spacing w:line="360" w:lineRule="auto"/>
        <w:rPr>
          <w:rFonts w:ascii="宋体" w:cs="仿宋_GB2312"/>
          <w:b/>
          <w:bCs/>
          <w:color w:val="auto"/>
          <w:sz w:val="24"/>
          <w:szCs w:val="24"/>
          <w:highlight w:val="none"/>
        </w:rPr>
        <w:outlineLvl w:val="1"/>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四）</w:t>
      </w:r>
      <w:r>
        <w:rPr>
          <w:rFonts w:hint="eastAsia" w:ascii="宋体" w:hAnsi="宋体" w:cs="宋体"/>
          <w:b/>
          <w:bCs/>
          <w:color w:val="auto"/>
          <w:sz w:val="24"/>
          <w:szCs w:val="24"/>
          <w:highlight w:val="none"/>
        </w:rPr>
        <w:t xml:space="preserve">成交</w:t>
      </w:r>
      <w:r>
        <w:rPr>
          <w:rFonts w:hint="eastAsia" w:ascii="宋体" w:hAnsi="宋体" w:cs="仿宋_GB2312"/>
          <w:b/>
          <w:bCs/>
          <w:color w:val="auto"/>
          <w:sz w:val="24"/>
          <w:szCs w:val="24"/>
          <w:highlight w:val="none"/>
        </w:rPr>
        <w:t xml:space="preserve">供应商的确定</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采用综合评分法，即在满足磋商文件实质性要求前提下，按照磋商文件中规定的评分标准和各项因素进行综合评审后，以评标总得分最高的投标人作为成交候选人，综合评分相等的，以报价低的优先；报价也相等的，抽签决定。</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对评委的评分计取平均值后（除价格分外）进行统计汇总，计算出每个投标人的得分，加上价格得分即为每个投标人的综合得分。</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评标委员会将向招标人推荐评标最后综合得分最高的前三名投标人为成交候选人，并标明排列顺序。</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由评标委员会根据中标候选人排序确定第一成交候选人为成交人。 </w:t>
      </w:r>
      <w:r/>
    </w:p>
    <w:p>
      <w:pPr>
        <w:ind w:firstLine="555"/>
        <w:spacing w:line="360" w:lineRule="auto"/>
        <w:rPr>
          <w:rFonts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t xml:space="preserve">成交人放弃中标，因不可抗力提出不能履行合同，或者磋商文件规定应当提交履约担保而在规定期限内未能提交的，招标人将按规定取消成交人资格。</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六、变更为其他方式采购的情形</w:t>
      </w:r>
      <w:r/>
    </w:p>
    <w:p>
      <w:pPr>
        <w:ind w:firstLine="48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提交响应文件截止时间时参加磋商的供应商不足3家的，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w:t>
      </w:r>
      <w:r>
        <w:rPr>
          <w:rFonts w:ascii="宋体" w:hAnsi="宋体"/>
          <w:b/>
          <w:color w:val="auto"/>
          <w:sz w:val="24"/>
          <w:szCs w:val="24"/>
          <w:highlight w:val="none"/>
        </w:rPr>
        <w:t xml:space="preserve">、出现下列情形之一的，竞争性磋商采购活动终止，发布项目终止公告并说明原因，重新开展采购活动：</w:t>
      </w:r>
      <w:r/>
    </w:p>
    <w:p>
      <w:pPr>
        <w:ind w:firstLine="57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ascii="宋体" w:hAnsi="宋体" w:cs="宋体"/>
          <w:color w:val="auto"/>
          <w:sz w:val="24"/>
          <w:szCs w:val="24"/>
          <w:highlight w:val="none"/>
          <w:lang w:val="zh-CN"/>
        </w:rPr>
        <w:t xml:space="preserve">因情况变化，不再符合规定的竞争性磋商采购方式适用情形的；</w:t>
      </w:r>
      <w:r/>
    </w:p>
    <w:p>
      <w:pPr>
        <w:ind w:firstLine="57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ascii="宋体" w:hAnsi="宋体" w:cs="宋体"/>
          <w:color w:val="auto"/>
          <w:sz w:val="24"/>
          <w:szCs w:val="24"/>
          <w:highlight w:val="none"/>
          <w:lang w:val="zh-CN"/>
        </w:rPr>
        <w:t xml:space="preserve">出现影响采购公正的违法、违规行为的；</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八、</w:t>
      </w:r>
      <w:r>
        <w:rPr>
          <w:rFonts w:hint="eastAsia" w:ascii="宋体" w:hAnsi="宋体" w:cs="宋体"/>
          <w:b/>
          <w:bCs/>
          <w:color w:val="auto"/>
          <w:sz w:val="24"/>
          <w:szCs w:val="24"/>
          <w:highlight w:val="none"/>
          <w:lang w:val="zh-CN"/>
        </w:rPr>
        <w:t xml:space="preserve">公告成交结果</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自确定成交供应商之日起2个工作日内，在江苏政府采购网公告成交结果，公告期限为1个工作日。</w:t>
      </w:r>
      <w:r/>
    </w:p>
    <w:p>
      <w:pPr>
        <w:spacing w:line="360" w:lineRule="auto"/>
        <w:rPr>
          <w:rFonts w:hint="eastAsia" w:ascii="宋体" w:hAnsi="宋体" w:cs="宋体"/>
          <w:b/>
          <w:bCs/>
          <w:color w:val="auto"/>
          <w:sz w:val="24"/>
          <w:szCs w:val="24"/>
          <w:highlight w:val="none"/>
          <w:lang w:val="zh-CN"/>
        </w:rPr>
      </w:pPr>
      <w:r>
        <w:rPr>
          <w:rFonts w:hint="eastAsia" w:ascii="宋体" w:hAnsi="宋体" w:cs="宋体"/>
          <w:b/>
          <w:bCs/>
          <w:color w:val="auto"/>
          <w:sz w:val="24"/>
          <w:szCs w:val="24"/>
          <w:highlight w:val="none"/>
        </w:rPr>
        <w:t xml:space="preserve">九、</w:t>
      </w:r>
      <w:r>
        <w:rPr>
          <w:rFonts w:hint="eastAsia" w:ascii="宋体" w:hAnsi="宋体" w:cs="宋体"/>
          <w:b/>
          <w:bCs/>
          <w:color w:val="auto"/>
          <w:sz w:val="24"/>
          <w:szCs w:val="24"/>
          <w:highlight w:val="none"/>
          <w:lang w:val="zh-CN"/>
        </w:rPr>
        <w:t xml:space="preserve">发放成交通知书</w:t>
      </w:r>
      <w:r/>
    </w:p>
    <w:p>
      <w:pPr>
        <w:ind w:firstLine="57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公告成交结果的同时，交易中心向成交供应商发放成交通知书。</w:t>
      </w:r>
      <w:r/>
    </w:p>
    <w:p>
      <w:pPr>
        <w:ind w:firstLine="570"/>
        <w:spacing w:line="360" w:lineRule="auto"/>
        <w:rPr>
          <w:rFonts w:hint="eastAsia" w:ascii="宋体" w:hAnsi="宋体" w:cs="宋体"/>
          <w:b/>
          <w:bCs/>
          <w:color w:val="auto"/>
          <w:sz w:val="24"/>
          <w:highlight w:val="none"/>
          <w:lang w:val="zh-CN"/>
        </w:rPr>
      </w:pPr>
      <w:r>
        <w:rPr>
          <w:rFonts w:hint="eastAsia" w:ascii="宋体" w:hAnsi="宋体" w:cs="宋体"/>
          <w:color w:val="auto"/>
          <w:sz w:val="24"/>
          <w:szCs w:val="24"/>
          <w:highlight w:val="none"/>
          <w:lang w:val="zh-CN"/>
        </w:rPr>
        <w:t xml:space="preserve">成交通知书发出后，采购人不得违法改变成交结果，成交供应商无正当理由不得放弃成交。</w:t>
      </w:r>
      <w:r>
        <w:rPr>
          <w:rFonts w:hint="eastAsia" w:ascii="宋体" w:hAnsi="宋体" w:cs="宋体"/>
          <w:b/>
          <w:bCs/>
          <w:color w:val="auto"/>
          <w:sz w:val="24"/>
          <w:szCs w:val="24"/>
          <w:highlight w:val="none"/>
          <w:lang w:val="zh-CN"/>
        </w:rPr>
        <w:t xml:space="preserve">成交供应商领取成交通知书时须提供叁份纸质版响应文件及壹份响应文件电子扫描件至代理机构处。</w:t>
      </w:r>
      <w:bookmarkEnd w:id="806"/>
      <w:r/>
      <w:bookmarkEnd w:id="807"/>
      <w:r/>
      <w:bookmarkEnd w:id="831"/>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ind w:firstLine="570"/>
        <w:spacing w:line="360" w:lineRule="auto"/>
        <w:rPr>
          <w:rFonts w:ascii="宋体" w:hAnsi="宋体" w:cs="宋体"/>
          <w:b/>
          <w:bCs/>
          <w:color w:val="auto"/>
          <w:sz w:val="24"/>
          <w:highlight w:val="none"/>
          <w:lang w:val="zh-CN"/>
        </w:rPr>
      </w:pPr>
      <w:r>
        <w:rPr>
          <w:rFonts w:ascii="宋体" w:hAnsi="宋体" w:cs="宋体"/>
          <w:b/>
          <w:bCs/>
          <w:color w:val="auto"/>
          <w:sz w:val="24"/>
          <w:highlight w:val="none"/>
          <w:lang w:val="zh-CN"/>
        </w:rPr>
      </w:r>
      <w:r/>
    </w:p>
    <w:p>
      <w:pPr>
        <w:jc w:val="center"/>
        <w:keepNext/>
        <w:spacing w:line="360" w:lineRule="auto"/>
        <w:rPr>
          <w:rFonts w:ascii="黑体" w:hAnsi="Times New Roman" w:eastAsia="黑体"/>
          <w:b/>
          <w:bCs/>
          <w:color w:val="auto"/>
          <w:sz w:val="44"/>
          <w:szCs w:val="28"/>
          <w:highlight w:val="none"/>
        </w:rPr>
        <w:outlineLvl w:val="0"/>
      </w:pPr>
      <w:r>
        <w:rPr>
          <w:rFonts w:ascii="黑体" w:hAnsi="Times New Roman" w:eastAsia="黑体"/>
          <w:b/>
          <w:bCs/>
          <w:color w:val="auto"/>
          <w:sz w:val="44"/>
          <w:szCs w:val="28"/>
          <w:highlight w:val="none"/>
        </w:rPr>
      </w:r>
      <w:r/>
    </w:p>
    <w:p>
      <w:pPr>
        <w:jc w:val="center"/>
        <w:keepNext/>
        <w:spacing w:line="360" w:lineRule="auto"/>
        <w:rPr>
          <w:rFonts w:ascii="黑体" w:hAnsi="Times New Roman" w:eastAsia="黑体"/>
          <w:b/>
          <w:bCs/>
          <w:color w:val="auto"/>
          <w:sz w:val="44"/>
          <w:szCs w:val="28"/>
          <w:highlight w:val="none"/>
        </w:rPr>
        <w:outlineLvl w:val="0"/>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 xml:space="preserve">第六章    响应文件格式</w:t>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0"/>
      </w:pPr>
      <w:r>
        <w:rPr>
          <w:rFonts w:ascii="黑体" w:hAnsi="Times New Roman" w:eastAsia="黑体"/>
          <w:bCs/>
          <w:color w:val="auto"/>
          <w:sz w:val="44"/>
          <w:szCs w:val="28"/>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b/>
          <w:color w:val="auto"/>
          <w:sz w:val="36"/>
          <w:szCs w:val="21"/>
          <w:highlight w:val="none"/>
          <w:u w:val="single"/>
        </w:rPr>
        <w:br w:type="page" w:clear="all"/>
      </w:r>
      <w:bookmarkStart w:id="836" w:name="_Hlt26955039"/>
      <w:r/>
      <w:bookmarkEnd w:id="836"/>
      <w:r/>
      <w:bookmarkStart w:id="837" w:name="_Hlt26671244"/>
      <w:r/>
      <w:bookmarkEnd w:id="837"/>
      <w:r/>
      <w:bookmarkStart w:id="838" w:name="_Toc49090576"/>
      <w:r/>
      <w:bookmarkStart w:id="839" w:name="_Toc26554094"/>
      <w:r/>
      <w:bookmarkStart w:id="840" w:name="_Toc120614282"/>
      <w:r>
        <w:rPr>
          <w:rFonts w:ascii="宋体" w:hAnsi="宋体" w:cs="宋体"/>
          <w:b/>
          <w:color w:val="auto"/>
          <w:sz w:val="32"/>
          <w:highlight w:val="none"/>
        </w:rPr>
        <w:t xml:space="preserve">响应文件目录</w:t>
      </w:r>
      <w:r/>
    </w:p>
    <w:p>
      <w:pPr>
        <w:ind w:firstLine="480"/>
        <w:spacing w:line="360" w:lineRule="auto"/>
        <w:rPr>
          <w:rFonts w:ascii="宋体" w:hAnsi="宋体" w:cs="宋体"/>
          <w:color w:val="auto"/>
          <w:sz w:val="24"/>
          <w:szCs w:val="24"/>
          <w:highlight w:val="none"/>
        </w:rPr>
      </w:pPr>
      <w:r/>
      <w:bookmarkStart w:id="841" w:name="_Hlk167855685"/>
      <w:r>
        <w:rPr>
          <w:rFonts w:hint="eastAsia" w:ascii="宋体" w:hAnsi="宋体" w:cs="宋体"/>
          <w:color w:val="auto"/>
          <w:sz w:val="24"/>
          <w:szCs w:val="24"/>
          <w:highlight w:val="none"/>
        </w:rPr>
        <w:t xml:space="preserve">1、开标一览表</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一、资格审查材料</w:t>
      </w:r>
      <w:r/>
    </w:p>
    <w:p>
      <w:pPr>
        <w:ind w:firstLine="480"/>
        <w:spacing w:line="360" w:lineRule="auto"/>
        <w:rPr>
          <w:rFonts w:hint="eastAsia" w:ascii="宋体" w:hAnsi="宋体" w:cs="宋体"/>
          <w:bCs/>
          <w:color w:val="auto"/>
          <w:sz w:val="24"/>
          <w:szCs w:val="24"/>
          <w:highlight w:val="none"/>
        </w:rPr>
      </w:pPr>
      <w:r/>
      <w:bookmarkStart w:id="842" w:name="_Hlk161176407"/>
      <w:r>
        <w:rPr>
          <w:rFonts w:hint="eastAsia" w:ascii="宋体" w:hAnsi="宋体" w:cs="宋体"/>
          <w:bCs/>
          <w:color w:val="auto"/>
          <w:sz w:val="24"/>
          <w:szCs w:val="24"/>
          <w:highlight w:val="none"/>
        </w:rPr>
        <w:t xml:space="preserve">1.1、</w:t>
      </w:r>
      <w:r>
        <w:rPr>
          <w:rFonts w:hint="eastAsia" w:ascii="宋体" w:hAnsi="宋体" w:cs="宋体"/>
          <w:color w:val="auto"/>
          <w:sz w:val="24"/>
          <w:szCs w:val="24"/>
          <w:highlight w:val="none"/>
        </w:rPr>
        <w:t xml:space="preserve">供应商符合《政府采购法》第二十二条规定条件的承诺函（格式见附件）；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1.2、法定代表人身份证明书；法定代表人授权书（如有授权）；</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1.3、法人或者其他组织的营业执照等证明文件；自然人的身份证明；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1.4、企业资质证书及安全生产许可证副本复印件；（</w:t>
      </w:r>
      <w:r>
        <w:rPr>
          <w:rFonts w:hint="eastAsia" w:ascii="宋体" w:hAnsi="宋体" w:cs="宋体"/>
          <w:bCs/>
          <w:color w:val="auto"/>
          <w:sz w:val="24"/>
          <w:szCs w:val="24"/>
          <w:highlight w:val="none"/>
          <w:lang w:bidi="ar"/>
        </w:rPr>
        <w:t xml:space="preserve">市政公用工程施工总承包叁级及以上资质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1.5、</w:t>
      </w:r>
      <w:r>
        <w:rPr>
          <w:rFonts w:hint="eastAsia" w:ascii="宋体" w:hAnsi="宋体"/>
          <w:color w:val="auto"/>
          <w:sz w:val="24"/>
          <w:szCs w:val="24"/>
          <w:highlight w:val="none"/>
          <w:lang w:val="zh-CN"/>
        </w:rPr>
        <w:t xml:space="preserve">拟派项目负责人须具备市政公用工程专业二级及以上注册建造师，建造师必须具备安全考核B证复印件；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1.6、拟派项目负责人、授权委托人和企业签订的有效劳动合同，投标企业所在地社保机构出具的由企业为拟派项目负责人、授权委托人缴纳的</w:t>
      </w:r>
      <w:bookmarkStart w:id="843" w:name="_Hlk184309507"/>
      <w:r>
        <w:rPr>
          <w:rFonts w:hint="eastAsia" w:ascii="宋体" w:hAnsi="宋体" w:cs="宋体"/>
          <w:bCs/>
          <w:color w:val="auto"/>
          <w:sz w:val="24"/>
          <w:szCs w:val="24"/>
          <w:highlight w:val="none"/>
          <w:u w:val="single"/>
        </w:rPr>
        <w:t xml:space="preserve">202</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lang w:val="en-US" w:eastAsia="zh-CN"/>
        </w:rPr>
        <w:t xml:space="preserve">7</w:t>
      </w:r>
      <w:r>
        <w:rPr>
          <w:rFonts w:hint="eastAsia" w:ascii="宋体" w:hAnsi="宋体" w:cs="宋体"/>
          <w:bCs/>
          <w:color w:val="auto"/>
          <w:sz w:val="24"/>
          <w:szCs w:val="24"/>
          <w:highlight w:val="none"/>
        </w:rPr>
        <w:t xml:space="preserve">月至</w:t>
      </w:r>
      <w:r>
        <w:rPr>
          <w:rFonts w:hint="eastAsia" w:ascii="宋体" w:hAnsi="宋体" w:cs="宋体"/>
          <w:bCs/>
          <w:color w:val="auto"/>
          <w:sz w:val="24"/>
          <w:szCs w:val="24"/>
          <w:highlight w:val="none"/>
          <w:u w:val="single"/>
        </w:rPr>
        <w:t xml:space="preserve"> 202</w:t>
      </w:r>
      <w:r>
        <w:rPr>
          <w:rFonts w:hint="eastAsia" w:ascii="宋体" w:hAnsi="宋体" w:cs="宋体"/>
          <w:bCs/>
          <w:color w:val="auto"/>
          <w:sz w:val="24"/>
          <w:szCs w:val="24"/>
          <w:highlight w:val="none"/>
          <w:u w:val="single"/>
          <w:lang w:val="en-US" w:eastAsia="zh-CN"/>
        </w:rPr>
        <w:t xml:space="preserve">5</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lang w:val="en-US" w:eastAsia="zh-CN"/>
        </w:rPr>
        <w:t xml:space="preserve">9</w:t>
      </w:r>
      <w:r>
        <w:rPr>
          <w:rFonts w:hint="eastAsia" w:ascii="宋体" w:hAnsi="宋体" w:cs="宋体"/>
          <w:bCs/>
          <w:color w:val="auto"/>
          <w:sz w:val="24"/>
          <w:szCs w:val="24"/>
          <w:highlight w:val="none"/>
        </w:rPr>
        <w:t xml:space="preserve">月任意1个月的养老保险缴费证明</w:t>
      </w:r>
      <w:bookmarkEnd w:id="843"/>
      <w:r>
        <w:rPr>
          <w:rFonts w:hint="eastAsia" w:ascii="宋体" w:hAnsi="宋体" w:cs="宋体"/>
          <w:bCs/>
          <w:color w:val="auto"/>
          <w:sz w:val="24"/>
          <w:szCs w:val="24"/>
          <w:highlight w:val="none"/>
        </w:rPr>
        <w:t xml:space="preserve">（注：委托代理人为法定代表人的，无需提供养老保险缴费证明）；</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1.7、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1.8、</w:t>
      </w:r>
      <w:r>
        <w:rPr>
          <w:rFonts w:hint="eastAsia" w:ascii="宋体" w:hAnsi="宋体" w:cs="宋体"/>
          <w:bCs/>
          <w:color w:val="auto"/>
          <w:sz w:val="24"/>
          <w:szCs w:val="24"/>
          <w:highlight w:val="none"/>
          <w:lang w:val="en-US" w:eastAsia="zh-CN"/>
        </w:rPr>
        <w:t xml:space="preserve">提供2024年度</w:t>
      </w:r>
      <w:r>
        <w:rPr>
          <w:rFonts w:hint="eastAsia" w:ascii="宋体" w:hAnsi="宋体" w:cs="宋体"/>
          <w:bCs/>
          <w:color w:val="auto"/>
          <w:sz w:val="24"/>
          <w:szCs w:val="24"/>
          <w:highlight w:val="none"/>
        </w:rPr>
        <w:t xml:space="preserve">的财务状况报告或投标截止时间前三个月（不含投标截止时间当月）中至少一个月</w:t>
      </w:r>
      <w:r>
        <w:rPr>
          <w:rFonts w:hint="eastAsia" w:ascii="宋体" w:hAnsi="宋体" w:cs="宋体"/>
          <w:bCs/>
          <w:color w:val="auto"/>
          <w:sz w:val="24"/>
          <w:szCs w:val="24"/>
          <w:highlight w:val="none"/>
          <w:lang w:eastAsia="zh-CN"/>
        </w:rPr>
        <w:t xml:space="preserve">的银行</w:t>
      </w:r>
      <w:r>
        <w:rPr>
          <w:rFonts w:hint="eastAsia" w:ascii="宋体" w:hAnsi="宋体" w:cs="宋体"/>
          <w:bCs/>
          <w:color w:val="auto"/>
          <w:sz w:val="24"/>
          <w:szCs w:val="24"/>
          <w:highlight w:val="none"/>
        </w:rPr>
        <w:t xml:space="preserve">资信证明；（成立不满一年无需提供）；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1.9、拟派项目负责人无在建承诺书；（详见投标文件格式附件）</w:t>
      </w:r>
      <w:r/>
    </w:p>
    <w:p>
      <w:pPr>
        <w:ind w:firstLine="480"/>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1.10、</w:t>
      </w:r>
      <w:r>
        <w:rPr>
          <w:rFonts w:hint="eastAsia" w:ascii="宋体" w:hAnsi="宋体" w:cs="宋体"/>
          <w:color w:val="auto"/>
          <w:sz w:val="24"/>
          <w:szCs w:val="24"/>
          <w:highlight w:val="none"/>
        </w:rPr>
        <w:t xml:space="preserve">具备履行合同所必需的设备和专业技术能力的书面声明；</w:t>
      </w:r>
      <w:r>
        <w:rPr>
          <w:rFonts w:hint="eastAsia" w:ascii="宋体" w:hAnsi="宋体" w:cs="宋体"/>
          <w:bCs/>
          <w:color w:val="auto"/>
          <w:sz w:val="24"/>
          <w:szCs w:val="24"/>
          <w:highlight w:val="none"/>
        </w:rPr>
        <w:t xml:space="preserve">（详见投标文件格式附件）</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1.11、参加政府采购活动前 3 年内在经营活动中没有重大违法记录的书面声明；</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1.12、其他证明材料（本项目专门面向中小企业采购）</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（1）中小企业声明函；</w:t>
      </w:r>
      <w:r/>
    </w:p>
    <w:p>
      <w:pPr>
        <w:ind w:firstLine="480"/>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（2）监狱企业证明函（如符合监狱企业的需提供）；</w:t>
      </w:r>
      <w:r/>
    </w:p>
    <w:p>
      <w:pPr>
        <w:ind w:firstLine="480"/>
        <w:spacing w:line="360" w:lineRule="auto"/>
        <w:widowControl/>
        <w:tabs>
          <w:tab w:val="left" w:pos="0" w:leader="none"/>
          <w:tab w:val="left" w:pos="993" w:leader="none"/>
          <w:tab w:val="left" w:pos="1134"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（3）残疾人福利性单位声明函（如符合残疾人福利性单位的需提供）；</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1.13、投标人认为其他必要的材料。</w:t>
      </w:r>
      <w:bookmarkEnd w:id="841"/>
      <w:r/>
      <w:bookmarkEnd w:id="842"/>
      <w:r/>
      <w:r/>
    </w:p>
    <w:p>
      <w:pPr>
        <w:ind w:firstLine="480"/>
        <w:spacing w:line="360" w:lineRule="auto"/>
        <w:rPr>
          <w:rFonts w:hint="eastAsia" w:ascii="宋体" w:hAnsi="宋体" w:cs="宋体"/>
          <w:bCs/>
          <w:color w:val="auto"/>
          <w:sz w:val="24"/>
          <w:highlight w:val="none"/>
          <w:lang w:val="zh-CN"/>
        </w:rPr>
      </w:pPr>
      <w:r/>
      <w:bookmarkStart w:id="844" w:name="_Hlk161176652"/>
      <w:r>
        <w:rPr>
          <w:rFonts w:hint="eastAsia" w:ascii="宋体" w:hAnsi="宋体" w:cs="宋体"/>
          <w:bCs/>
          <w:color w:val="auto"/>
          <w:sz w:val="24"/>
          <w:highlight w:val="none"/>
          <w:lang w:val="zh-CN"/>
        </w:rPr>
        <w:t xml:space="preserve">二、符合性条件材料</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1.投标函；</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2.已标价的工程量清单；</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w:t>
      </w:r>
      <w:r>
        <w:rPr>
          <w:rFonts w:hint="eastAsia" w:ascii="宋体" w:hAnsi="宋体" w:cs="宋体"/>
          <w:color w:val="auto"/>
          <w:sz w:val="24"/>
          <w:szCs w:val="21"/>
          <w:highlight w:val="none"/>
        </w:rPr>
        <w:t xml:space="preserve">计划投入的主要施工机械设备表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w:t>
      </w:r>
      <w:r>
        <w:rPr>
          <w:rFonts w:hint="eastAsia" w:ascii="宋体" w:hAnsi="宋体" w:cs="宋体"/>
          <w:color w:val="auto"/>
          <w:sz w:val="24"/>
          <w:szCs w:val="21"/>
          <w:highlight w:val="none"/>
        </w:rPr>
        <w:t xml:space="preserve">主要施工人员表</w:t>
      </w:r>
      <w:r>
        <w:rPr>
          <w:rFonts w:hint="eastAsia" w:ascii="宋体" w:hAnsi="宋体" w:cs="宋体"/>
          <w:bCs/>
          <w:color w:val="auto"/>
          <w:sz w:val="24"/>
          <w:szCs w:val="24"/>
          <w:highlight w:val="none"/>
        </w:rPr>
        <w:t xml:space="preserve">；</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三、商务技术文件材料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1.商务技术评分标准中须提供的相关得分佐证材料；</w:t>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2.供应商认为需要提交的其他商务技术材料。</w:t>
      </w:r>
      <w:bookmarkEnd w:id="844"/>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四、</w:t>
      </w:r>
      <w:r>
        <w:rPr>
          <w:rFonts w:ascii="宋体" w:hAnsi="宋体" w:cs="宋体"/>
          <w:bCs/>
          <w:color w:val="auto"/>
          <w:sz w:val="24"/>
          <w:highlight w:val="none"/>
          <w:lang w:val="zh-CN"/>
        </w:rPr>
        <w:t xml:space="preserve">报价折扣证明材料</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t xml:space="preserve">1.小微企业声明函</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2</w:t>
      </w:r>
      <w:r>
        <w:rPr>
          <w:rFonts w:ascii="宋体" w:hAnsi="宋体" w:cs="宋体"/>
          <w:bCs/>
          <w:color w:val="auto"/>
          <w:sz w:val="24"/>
          <w:highlight w:val="none"/>
          <w:lang w:val="zh-CN"/>
        </w:rPr>
        <w:t xml:space="preserve">.残疾人福利性单位声明函</w:t>
      </w:r>
      <w:r/>
    </w:p>
    <w:p>
      <w:pPr>
        <w:ind w:firstLine="480"/>
        <w:spacing w:line="360" w:lineRule="auto"/>
        <w:rPr>
          <w:rFonts w:ascii="宋体" w:hAnsi="宋体" w:cs="宋体"/>
          <w:bCs/>
          <w:color w:val="auto"/>
          <w:sz w:val="24"/>
          <w:highlight w:val="none"/>
          <w:lang w:val="zh-CN"/>
        </w:rPr>
      </w:pPr>
      <w:r>
        <w:rPr>
          <w:rFonts w:hint="eastAsia" w:ascii="宋体" w:hAnsi="宋体" w:cs="宋体"/>
          <w:bCs/>
          <w:color w:val="auto"/>
          <w:sz w:val="24"/>
          <w:highlight w:val="none"/>
          <w:lang w:val="zh-CN"/>
        </w:rPr>
        <w:t xml:space="preserve">3</w:t>
      </w:r>
      <w:r>
        <w:rPr>
          <w:rFonts w:ascii="宋体" w:hAnsi="宋体" w:cs="宋体"/>
          <w:bCs/>
          <w:color w:val="auto"/>
          <w:sz w:val="24"/>
          <w:highlight w:val="none"/>
          <w:lang w:val="zh-CN"/>
        </w:rPr>
        <w:t xml:space="preserve">.监狱企业证明函 </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r/>
    </w:p>
    <w:p>
      <w:pPr>
        <w:ind w:firstLine="480"/>
        <w:spacing w:line="360" w:lineRule="auto"/>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ascii="宋体" w:hAnsi="宋体"/>
          <w:b/>
          <w:color w:val="auto"/>
          <w:sz w:val="72"/>
          <w:szCs w:val="21"/>
          <w:highlight w:val="none"/>
        </w:rPr>
      </w:pPr>
      <w:r>
        <w:rPr>
          <w:rFonts w:ascii="宋体" w:hAnsi="宋体"/>
          <w:b/>
          <w:color w:val="auto"/>
          <w:sz w:val="72"/>
          <w:szCs w:val="21"/>
          <w:highlight w:val="none"/>
        </w:rPr>
      </w:r>
      <w:r/>
    </w:p>
    <w:p>
      <w:pPr>
        <w:jc w:val="center"/>
        <w:spacing w:line="360" w:lineRule="auto"/>
        <w:rPr>
          <w:rFonts w:hint="eastAsia" w:ascii="宋体" w:hAnsi="宋体"/>
          <w:b/>
          <w:color w:val="auto"/>
          <w:sz w:val="72"/>
          <w:szCs w:val="21"/>
          <w:highlight w:val="none"/>
        </w:rPr>
      </w:pPr>
      <w:r>
        <w:rPr>
          <w:rFonts w:hint="eastAsia" w:ascii="宋体" w:hAnsi="宋体"/>
          <w:b/>
          <w:color w:val="auto"/>
          <w:sz w:val="72"/>
          <w:szCs w:val="21"/>
          <w:highlight w:val="none"/>
        </w:rPr>
      </w:r>
      <w:bookmarkEnd w:id="804"/>
      <w:r/>
      <w:bookmarkEnd w:id="805"/>
      <w:r/>
      <w:bookmarkEnd w:id="838"/>
      <w:r/>
      <w:bookmarkEnd w:id="839"/>
      <w:r/>
      <w:bookmarkEnd w:id="840"/>
      <w:r/>
      <w:r/>
    </w:p>
    <w:p>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p>
    <w:p>
      <w:pPr>
        <w:ind w:firstLine="723"/>
        <w:spacing w:line="360" w:lineRule="auto"/>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格式附件如下：</w:t>
      </w:r>
      <w:r/>
    </w:p>
    <w:p>
      <w:pPr>
        <w:jc w:val="center"/>
        <w:keepLines/>
        <w:keepNext/>
        <w:spacing w:before="260" w:after="260" w:line="360"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开标一览表</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磋商人全称（加盖CA电子签章）：</w:t>
      </w:r>
      <w:r/>
    </w:p>
    <w:p>
      <w:pPr>
        <w:ind w:firstLine="480"/>
        <w:spacing w:line="360" w:lineRule="auto"/>
        <w:rPr>
          <w:rFonts w:ascii="Times New Roman" w:hAnsi="Times New Roman"/>
          <w:color w:val="auto"/>
          <w:sz w:val="24"/>
          <w:szCs w:val="24"/>
          <w:highlight w:val="none"/>
        </w:rPr>
      </w:pPr>
      <w:r>
        <w:rPr>
          <w:rFonts w:hint="eastAsia" w:ascii="宋体" w:hAnsi="宋体"/>
          <w:color w:val="auto"/>
          <w:sz w:val="24"/>
          <w:szCs w:val="24"/>
          <w:highlight w:val="none"/>
        </w:rPr>
        <w:t xml:space="preserve">项目名称：</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磋商编号：                                   标段：</w:t>
      </w:r>
      <w:r/>
    </w:p>
    <w:tbl>
      <w:tblPr>
        <w:tblStyle w:val="94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12"/>
        </w:trPr>
        <w:tc>
          <w:tcPr>
            <w:tcW w:w="8886" w:type="dxa"/>
            <w:vAlign w:val="center"/>
            <w:textDirection w:val="lrTb"/>
            <w:noWrap w:val="false"/>
          </w:tcPr>
          <w:p>
            <w:pPr>
              <w:jc w:val="left"/>
              <w:spacing w:line="360" w:lineRule="auto"/>
              <w:rPr>
                <w:rFonts w:hint="eastAsia" w:ascii="宋体" w:hAnsi="宋体"/>
                <w:color w:val="auto"/>
                <w:sz w:val="24"/>
                <w:szCs w:val="21"/>
                <w:highlight w:val="none"/>
              </w:rPr>
            </w:pPr>
            <w:r>
              <w:rPr>
                <w:rFonts w:hint="eastAsia" w:ascii="宋体" w:hAnsi="宋体" w:cs="宋体"/>
                <w:color w:val="auto"/>
                <w:sz w:val="24"/>
                <w:szCs w:val="24"/>
                <w:highlight w:val="none"/>
              </w:rPr>
              <w:t xml:space="preserve">小写：                             </w:t>
            </w:r>
            <w:r>
              <w:rPr>
                <w:rFonts w:hint="eastAsia" w:ascii="宋体" w:hAnsi="宋体" w:cs="宋体"/>
                <w:color w:val="auto"/>
                <w:highlight w:val="none"/>
              </w:rPr>
              <w:t xml:space="preserve">  （</w:t>
            </w:r>
            <w:r>
              <w:rPr>
                <w:rFonts w:hint="eastAsia" w:ascii="宋体" w:hAnsi="宋体" w:cs="宋体"/>
                <w:color w:val="auto"/>
                <w:sz w:val="24"/>
                <w:szCs w:val="24"/>
                <w:highlight w:val="none"/>
              </w:rPr>
              <w:t xml:space="preserve">人民币：元</w:t>
            </w:r>
            <w:r>
              <w:rPr>
                <w:rFonts w:hint="eastAsia" w:ascii="宋体" w:hAnsi="宋体" w:cs="宋体"/>
                <w:color w:val="auto"/>
                <w:highlight w:val="none"/>
              </w:rPr>
              <w:t xml:space="preserve">）</w:t>
            </w:r>
            <w:r/>
          </w:p>
        </w:tc>
      </w:tr>
    </w:tbl>
    <w:p>
      <w:pPr>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磋商人符合《政府采购法》第二十二条规定条件的声明函</w:t>
      </w:r>
      <w:r/>
    </w:p>
    <w:p>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360" w:lineRule="auto"/>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rPr>
        <w:t xml:space="preserve">________________ _</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rPr>
        <w:t xml:space="preserve">_______ __________</w:t>
      </w:r>
      <w:r>
        <w:rPr>
          <w:rFonts w:hint="eastAsia" w:ascii="宋体" w:hAnsi="宋体"/>
          <w:bCs/>
          <w:color w:val="auto"/>
          <w:sz w:val="24"/>
          <w:szCs w:val="21"/>
          <w:highlight w:val="none"/>
        </w:rPr>
        <w:t xml:space="preserve">（项目编号）投标活动。针对《中华人民共和国政府采购法》第二十二条规定做出如下声明：</w:t>
      </w:r>
      <w:r/>
    </w:p>
    <w:p>
      <w:pPr>
        <w:ind w:firstLine="482"/>
        <w:spacing w:line="360" w:lineRule="auto"/>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jc w:val="cente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承诺人名称（公章）：</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60" w:lineRule="exact"/>
        <w:rPr>
          <w:rFonts w:ascii="宋体" w:hAnsi="宋体"/>
          <w:bCs/>
          <w:color w:val="auto"/>
          <w:sz w:val="36"/>
          <w:szCs w:val="36"/>
          <w:highlight w:val="none"/>
        </w:rPr>
        <w:outlineLvl w:val="1"/>
      </w:pPr>
      <w:r>
        <w:rPr>
          <w:rFonts w:hint="eastAsia" w:ascii="宋体" w:hAnsi="宋体"/>
          <w:bCs/>
          <w:color w:val="auto"/>
          <w:sz w:val="36"/>
          <w:szCs w:val="36"/>
          <w:highlight w:val="none"/>
        </w:rPr>
        <w:t xml:space="preserve">法定代表人身份证明书</w:t>
      </w:r>
      <w:r/>
    </w:p>
    <w:p>
      <w:pPr>
        <w:jc w:val="center"/>
        <w:spacing w:line="560" w:lineRule="exact"/>
        <w:rPr>
          <w:rFonts w:ascii="宋体" w:hAnsi="宋体"/>
          <w:bCs/>
          <w:color w:val="auto"/>
          <w:sz w:val="44"/>
          <w:szCs w:val="24"/>
          <w:highlight w:val="none"/>
        </w:rPr>
      </w:pPr>
      <w:r>
        <w:rPr>
          <w:rFonts w:ascii="宋体" w:hAnsi="宋体"/>
          <w:bCs/>
          <w:color w:val="auto"/>
          <w:sz w:val="44"/>
          <w:szCs w:val="24"/>
          <w:highlight w:val="none"/>
        </w:rPr>
      </w:r>
      <w:r/>
    </w:p>
    <w:p>
      <w:pPr>
        <w:ind w:firstLine="560"/>
        <w:spacing w:line="560" w:lineRule="exact"/>
        <w:rPr>
          <w:rFonts w:ascii="宋体" w:hAnsi="宋体"/>
          <w:color w:val="auto"/>
          <w:sz w:val="28"/>
          <w:szCs w:val="28"/>
          <w:highlight w:val="none"/>
        </w:rPr>
      </w:pPr>
      <w:r>
        <w:rPr>
          <w:rFonts w:ascii="宋体" w:hAnsi="宋体"/>
          <w:color w:val="auto"/>
          <w:sz w:val="28"/>
          <w:szCs w:val="28"/>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u w:val="single"/>
        </w:rPr>
        <w:t xml:space="preserve">（法定代表人姓名）</w:t>
      </w:r>
      <w:r>
        <w:rPr>
          <w:rFonts w:hint="eastAsia" w:ascii="宋体" w:hAnsi="宋体"/>
          <w:color w:val="auto"/>
          <w:sz w:val="24"/>
          <w:szCs w:val="24"/>
          <w:highlight w:val="none"/>
        </w:rPr>
        <w:t xml:space="preserve">系</w:t>
      </w:r>
      <w:r>
        <w:rPr>
          <w:rFonts w:hint="eastAsia" w:ascii="宋体" w:hAnsi="宋体"/>
          <w:color w:val="auto"/>
          <w:sz w:val="24"/>
          <w:szCs w:val="24"/>
          <w:highlight w:val="none"/>
          <w:u w:val="single"/>
        </w:rPr>
        <w:t xml:space="preserve">（磋商响应人全称）</w:t>
      </w:r>
      <w:r>
        <w:rPr>
          <w:rFonts w:hint="eastAsia" w:ascii="宋体" w:hAnsi="宋体"/>
          <w:color w:val="auto"/>
          <w:sz w:val="24"/>
          <w:szCs w:val="24"/>
          <w:highlight w:val="none"/>
        </w:rPr>
        <w:t xml:space="preserve">的法定代表人。</w:t>
      </w:r>
      <w:r/>
    </w:p>
    <w:p>
      <w:pPr>
        <w:ind w:firstLine="480"/>
        <w:spacing w:line="56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349885</wp:posOffset>
                </wp:positionH>
                <wp:positionV relativeFrom="paragraph">
                  <wp:posOffset>71755</wp:posOffset>
                </wp:positionV>
                <wp:extent cx="2240915" cy="1125855"/>
                <wp:effectExtent l="0" t="0" r="0" b="0"/>
                <wp:wrapNone/>
                <wp:docPr id="7" name="文本框 5"/>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6" o:spid="_x0000_s6" o:spt="202" type="#_x0000_t202" style="position:absolute;z-index:251660288;o:allowoverlap:true;o:allowincell:true;mso-position-horizontal-relative:text;margin-left:27.5pt;mso-position-horizontal:absolute;mso-position-vertical-relative:text;margin-top:5.6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2895600</wp:posOffset>
                </wp:positionH>
                <wp:positionV relativeFrom="paragraph">
                  <wp:posOffset>63500</wp:posOffset>
                </wp:positionV>
                <wp:extent cx="2240915" cy="1125855"/>
                <wp:effectExtent l="0" t="0" r="0" b="0"/>
                <wp:wrapNone/>
                <wp:docPr id="8" name="文本框 6"/>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7" o:spid="_x0000_s7" o:spt="202" type="#_x0000_t202" style="position:absolute;z-index:251660288;o:allowoverlap:true;o:allowincell:true;mso-position-horizontal-relative:text;margin-left:228.0pt;mso-position-horizontal:absolute;mso-position-vertical-relative:text;margin-top:5.0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法定代表人身份证复印件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磋商响应人全称：（盖章）</w:t>
      </w:r>
      <w:r/>
    </w:p>
    <w:p>
      <w:pPr>
        <w:jc w:val="left"/>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年  月  日</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60" w:lineRule="exact"/>
        <w:rPr>
          <w:rFonts w:ascii="宋体" w:hAnsi="宋体"/>
          <w:bCs/>
          <w:color w:val="auto"/>
          <w:sz w:val="36"/>
          <w:szCs w:val="36"/>
          <w:highlight w:val="none"/>
        </w:rPr>
      </w:pPr>
      <w:r>
        <w:rPr>
          <w:rFonts w:hint="eastAsia" w:ascii="宋体" w:hAnsi="宋体"/>
          <w:bCs/>
          <w:color w:val="auto"/>
          <w:sz w:val="36"/>
          <w:szCs w:val="36"/>
          <w:highlight w:val="none"/>
        </w:rPr>
        <w:t xml:space="preserve">法定代表人授权书</w:t>
      </w:r>
      <w:r/>
    </w:p>
    <w:p>
      <w:pPr>
        <w:spacing w:line="560" w:lineRule="exact"/>
        <w:rPr>
          <w:rFonts w:ascii="宋体" w:hAnsi="宋体"/>
          <w:color w:val="auto"/>
          <w:sz w:val="28"/>
          <w:szCs w:val="28"/>
          <w:highlight w:val="none"/>
        </w:rPr>
      </w:pPr>
      <w:r>
        <w:rPr>
          <w:rFonts w:ascii="宋体" w:hAnsi="宋体"/>
          <w:color w:val="auto"/>
          <w:sz w:val="28"/>
          <w:szCs w:val="28"/>
          <w:highlight w:val="none"/>
        </w:rPr>
      </w:r>
      <w:r/>
    </w:p>
    <w:p>
      <w:pPr>
        <w:spacing w:line="560" w:lineRule="exact"/>
        <w:rPr>
          <w:rFonts w:ascii="宋体" w:hAnsi="宋体"/>
          <w:color w:val="auto"/>
          <w:sz w:val="24"/>
          <w:szCs w:val="24"/>
          <w:highlight w:val="none"/>
        </w:rPr>
      </w:pPr>
      <w:r>
        <w:rPr>
          <w:rFonts w:hint="eastAsia" w:ascii="宋体" w:hAnsi="宋体"/>
          <w:color w:val="auto"/>
          <w:sz w:val="24"/>
          <w:szCs w:val="24"/>
          <w:highlight w:val="none"/>
        </w:rPr>
        <w:t xml:space="preserve">（采购人）：</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本授权书声明：____________（磋商人名称）授权________________（被授权人的姓名）为我方就JSZC-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845" w:name="_格式3__银行出具的资信证明"/>
      <w:r/>
      <w:bookmarkEnd w:id="845"/>
      <w:r/>
      <w:bookmarkStart w:id="846" w:name="_Hlt26955070"/>
      <w:r/>
      <w:bookmarkEnd w:id="846"/>
      <w:r/>
      <w:bookmarkStart w:id="847" w:name="_Hlt26671380"/>
      <w:r/>
      <w:bookmarkEnd w:id="847"/>
      <w:r>
        <w:rPr>
          <w:rFonts w:hint="eastAsia" w:ascii="Times New Roman" w:hAnsi="Times New Roman"/>
          <w:color w:val="auto"/>
          <w:sz w:val="24"/>
          <w:szCs w:val="24"/>
          <w:highlight w:val="none"/>
          <w:u w:val="single"/>
        </w:rPr>
        <w:t xml:space="preserve">                                         </w:t>
      </w:r>
      <w:r/>
    </w:p>
    <w:p>
      <w:pPr>
        <w:ind w:firstLine="573"/>
        <w:spacing w:line="560" w:lineRule="exact"/>
        <w:rPr>
          <w:rFonts w:ascii="宋体" w:hAnsi="宋体"/>
          <w:color w:val="auto"/>
          <w:sz w:val="24"/>
          <w:szCs w:val="24"/>
          <w:highlight w:val="none"/>
        </w:rPr>
      </w:pP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2875915</wp:posOffset>
                </wp:positionH>
                <wp:positionV relativeFrom="paragraph">
                  <wp:posOffset>119380</wp:posOffset>
                </wp:positionV>
                <wp:extent cx="2240915" cy="1125855"/>
                <wp:effectExtent l="0" t="0" r="0" b="0"/>
                <wp:wrapNone/>
                <wp:docPr id="9" name="文本框 7"/>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wps:txbx>
                      <wps:bodyPr wrap="square" anchor="ctr" upright="1"/>
                    </wps:wsp>
                  </a:graphicData>
                </a:graphic>
              </wp:anchor>
            </w:drawing>
          </mc:Choice>
          <mc:Fallback>
            <w:pict>
              <v:shape id="shape 8" o:spid="_x0000_s8" o:spt="202" type="#_x0000_t202" style="position:absolute;z-index:251660288;o:allowoverlap:true;o:allowincell:true;mso-position-horizontal-relative:text;margin-left:226.4pt;mso-position-horizontal:absolute;mso-position-vertical-relative:text;margin-top:9.4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（反面）</w:t>
                      </w:r>
                      <w:r/>
                    </w:p>
                    <w:p>
                      <w:r/>
                      <w:r/>
                    </w:p>
                  </w:txbxContent>
                </v:textbox>
              </v:shape>
            </w:pict>
          </mc:Fallback>
        </mc:AlternateContent>
      </w:r>
      <w:r>
        <w:rPr>
          <w:rFonts w:ascii="宋体" w:hAnsi="宋体"/>
          <w:color w:val="auto"/>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388620</wp:posOffset>
                </wp:positionH>
                <wp:positionV relativeFrom="paragraph">
                  <wp:posOffset>117475</wp:posOffset>
                </wp:positionV>
                <wp:extent cx="2240915" cy="1125855"/>
                <wp:effectExtent l="0" t="0" r="0" b="0"/>
                <wp:wrapNone/>
                <wp:docPr id="10" name="文本框 8"/>
                <wp:cNvGraphicFramePr/>
                <a:graphic xmlns:a="http://schemas.openxmlformats.org/drawingml/2006/main">
                  <a:graphicData uri="http://schemas.microsoft.com/office/word/2010/wordprocessingShape">
                    <wps:wsp>
                      <wps:cNvPr id="0" name=""/>
                      <wps:cNvSpPr txBox="1"/>
                      <wps:spPr bwMode="auto">
                        <a:xfrm>
                          <a:off x="0" y="0"/>
                          <a:ext cx="2240915" cy="1125855"/>
                        </a:xfrm>
                        <a:prstGeom prst="rect">
                          <a:avLst/>
                        </a:prstGeom>
                        <a:solidFill>
                          <a:srgbClr val="FFFFFF"/>
                        </a:solidFill>
                        <a:ln>
                          <a:solidFill>
                            <a:srgbClr val="000000"/>
                          </a:solidFill>
                          <a:prstDash val="dash"/>
                        </a:ln>
                      </wps:spPr>
                      <wps:txbx>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wps:txbx>
                      <wps:bodyPr wrap="square" anchor="ctr" upright="1"/>
                    </wps:wsp>
                  </a:graphicData>
                </a:graphic>
              </wp:anchor>
            </w:drawing>
          </mc:Choice>
          <mc:Fallback>
            <w:pict>
              <v:shape id="shape 9" o:spid="_x0000_s9" o:spt="202" type="#_x0000_t202" style="position:absolute;z-index:251660288;o:allowoverlap:true;o:allowincell:true;mso-position-horizontal-relative:text;margin-left:30.6pt;mso-position-horizontal:absolute;mso-position-vertical-relative:text;margin-top:9.2pt;mso-position-vertical:absolute;width:176.4pt;height:88.6pt;mso-wrap-distance-left:9.0pt;mso-wrap-distance-top:0.0pt;mso-wrap-distance-right:9.0pt;mso-wrap-distance-bottom:0.0pt;v-text-anchor:middle;visibility:visible;" fillcolor="#FFFFFF" strokecolor="#000000">
                <v:stroke dashstyle="dash"/>
                <v:textbox inset="0,0,0,0">
                  <w:txbxContent>
                    <w:p>
                      <w:pPr>
                        <w:jc w:val="center"/>
                        <w:rPr>
                          <w:rFonts w:ascii="宋体"/>
                        </w:rPr>
                      </w:pPr>
                      <w:r>
                        <w:rPr>
                          <w:rFonts w:ascii="宋体"/>
                        </w:rPr>
                      </w:r>
                      <w:r/>
                    </w:p>
                    <w:p>
                      <w:pPr>
                        <w:jc w:val="center"/>
                        <w:rPr>
                          <w:rFonts w:ascii="宋体"/>
                          <w:sz w:val="28"/>
                          <w:szCs w:val="28"/>
                        </w:rPr>
                      </w:pPr>
                      <w:r>
                        <w:rPr>
                          <w:rFonts w:hint="eastAsia" w:ascii="宋体" w:hAnsi="宋体"/>
                          <w:sz w:val="28"/>
                          <w:szCs w:val="28"/>
                        </w:rPr>
                        <w:t xml:space="preserve">授权代表身份证复印件</w:t>
                      </w:r>
                      <w:r/>
                    </w:p>
                    <w:p>
                      <w:pPr>
                        <w:jc w:val="center"/>
                        <w:rPr>
                          <w:sz w:val="28"/>
                          <w:szCs w:val="28"/>
                        </w:rPr>
                      </w:pPr>
                      <w:r>
                        <w:rPr>
                          <w:rFonts w:hint="eastAsia" w:ascii="宋体" w:hAnsi="宋体"/>
                          <w:sz w:val="28"/>
                          <w:szCs w:val="28"/>
                        </w:rPr>
                        <w:t xml:space="preserve">（正面）</w:t>
                      </w:r>
                      <w:r/>
                    </w:p>
                    <w:p>
                      <w:r/>
                      <w:r/>
                    </w:p>
                  </w:txbxContent>
                </v:textbox>
              </v:shape>
            </w:pict>
          </mc:Fallback>
        </mc:AlternateContent>
      </w:r>
      <w:r/>
    </w:p>
    <w:p>
      <w:pPr>
        <w:ind w:firstLine="573"/>
        <w:spacing w:line="560" w:lineRule="exact"/>
        <w:rPr>
          <w:rFonts w:ascii="宋体" w:hAnsi="宋体"/>
          <w:color w:val="auto"/>
          <w:sz w:val="24"/>
          <w:szCs w:val="24"/>
          <w:highlight w:val="none"/>
        </w:rPr>
      </w:pPr>
      <w:r>
        <w:rPr>
          <w:rFonts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ind w:firstLine="48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有依法缴纳税收和社会保障资金的良好记录：投标人依法缴纳近一年内任意一个月税收的相关凭证的复印件，及投标人依法缴纳近一年内任意一个月社会保险的相关凭证（社会保险的凭据（专用收据或社会保险缴纳清单）），依法免税或不需要缴纳社会保障资金的投标人，应提供相应文件证明其依法免税或不需要缴纳社会保障资金；</w:t>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p>
      <w:pPr>
        <w:jc w:val="center"/>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lang w:val="en-US" w:eastAsia="zh-CN"/>
        </w:rPr>
        <w:t xml:space="preserve">2024年度</w:t>
      </w:r>
      <w:r>
        <w:rPr>
          <w:rFonts w:hint="eastAsia" w:ascii="宋体" w:hAnsi="宋体" w:cs="宋体"/>
          <w:bCs/>
          <w:color w:val="auto"/>
          <w:sz w:val="24"/>
          <w:szCs w:val="24"/>
          <w:highlight w:val="none"/>
        </w:rPr>
        <w:t xml:space="preserve">的财务状况报告或投标截止时间前三个月（不含投标截止时间当月）中至少一个月</w:t>
      </w:r>
      <w:r>
        <w:rPr>
          <w:rFonts w:hint="eastAsia" w:ascii="宋体" w:hAnsi="宋体" w:cs="宋体"/>
          <w:bCs/>
          <w:color w:val="auto"/>
          <w:sz w:val="24"/>
          <w:szCs w:val="24"/>
          <w:highlight w:val="none"/>
          <w:lang w:eastAsia="zh-CN"/>
        </w:rPr>
        <w:t xml:space="preserve">的银行</w:t>
      </w:r>
      <w:r>
        <w:rPr>
          <w:rFonts w:hint="eastAsia" w:ascii="宋体" w:hAnsi="宋体" w:cs="宋体"/>
          <w:bCs/>
          <w:color w:val="auto"/>
          <w:sz w:val="24"/>
          <w:szCs w:val="24"/>
          <w:highlight w:val="none"/>
        </w:rPr>
        <w:t xml:space="preserve">资信证明；（成立不满一年无需提供）；</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拟派项目负责人无在建工程承诺书</w:t>
      </w:r>
      <w:r/>
    </w:p>
    <w:p>
      <w:pPr>
        <w:jc w:val="center"/>
        <w:spacing w:line="36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__________________（招标人单位名称）：</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工程（以下简称“本工程”）施工投标的申请，拟派项目负责人为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。现我方向你方慎重承诺：</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磋商供应商</w:t>
      </w:r>
      <w:r>
        <w:rPr>
          <w:rFonts w:hint="eastAsia" w:ascii="宋体" w:hAnsi="宋体"/>
          <w:color w:val="auto"/>
          <w:sz w:val="24"/>
          <w:szCs w:val="24"/>
          <w:highlight w:val="none"/>
        </w:rPr>
        <w:t xml:space="preserve">（盖公章）：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right="-512" w:firstLine="3720"/>
        <w:spacing w:line="360" w:lineRule="auto"/>
        <w:tabs>
          <w:tab w:val="left" w:pos="43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bookmarkStart w:id="848" w:name="_Toc78297530"/>
      <w:r>
        <w:rPr>
          <w:rFonts w:hint="eastAsia" w:ascii="宋体" w:hAnsi="宋体" w:cs="宋体"/>
          <w:b/>
          <w:bCs/>
          <w:color w:val="auto"/>
          <w:sz w:val="24"/>
          <w:szCs w:val="24"/>
          <w:highlight w:val="none"/>
        </w:rPr>
        <w:br w:type="page" w:clear="all"/>
      </w:r>
      <w:r/>
    </w:p>
    <w:p>
      <w:pPr>
        <w:jc w:val="cente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具备履行合同所必需的设备和专业技术能力的书面声明</w:t>
      </w:r>
      <w:bookmarkEnd w:id="848"/>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jc w:val="center"/>
        <w:keepLines/>
        <w:keepNext/>
        <w:spacing w:before="260" w:after="260" w:line="416" w:lineRule="auto"/>
        <w:rPr>
          <w:rFonts w:hint="eastAsia" w:ascii="宋体" w:hAnsi="宋体" w:cs="宋体"/>
          <w:b/>
          <w:color w:val="auto"/>
          <w:sz w:val="44"/>
          <w:szCs w:val="20"/>
          <w:highlight w:val="none"/>
        </w:rPr>
        <w:outlineLvl w:val="1"/>
      </w:pPr>
      <w:r>
        <w:rPr>
          <w:rFonts w:hint="eastAsia" w:ascii="宋体" w:hAnsi="宋体" w:cs="宋体"/>
          <w:b/>
          <w:color w:val="auto"/>
          <w:sz w:val="44"/>
          <w:szCs w:val="20"/>
          <w:highlight w:val="none"/>
        </w:rPr>
      </w:r>
      <w:r/>
    </w:p>
    <w:p>
      <w:pPr>
        <w:rPr>
          <w:rFonts w:hint="eastAsia" w:ascii="宋体" w:hAnsi="宋体" w:cs="宋体"/>
          <w:color w:val="auto"/>
          <w:szCs w:val="24"/>
          <w:highlight w:val="none"/>
        </w:rPr>
      </w:pPr>
      <w:r>
        <w:rPr>
          <w:rFonts w:hint="eastAsia" w:ascii="宋体" w:hAnsi="宋体" w:cs="宋体"/>
          <w:color w:val="auto"/>
          <w:szCs w:val="24"/>
          <w:highlight w:val="none"/>
        </w:rPr>
        <w:t xml:space="preserve"> </w:t>
      </w:r>
      <w:r>
        <w:rPr>
          <w:rFonts w:ascii="宋体" w:hAnsi="宋体" w:cs="宋体"/>
          <w:color w:val="auto"/>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磋商供应商</w:t>
      </w:r>
      <w:r>
        <w:rPr>
          <w:rFonts w:hint="eastAsia" w:ascii="宋体" w:hAnsi="宋体"/>
          <w:color w:val="auto"/>
          <w:sz w:val="24"/>
          <w:szCs w:val="24"/>
          <w:highlight w:val="none"/>
        </w:rPr>
        <w:t xml:space="preserve">（盖公章）：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ind w:right="-512" w:firstLine="3720"/>
        <w:spacing w:line="360" w:lineRule="auto"/>
        <w:tabs>
          <w:tab w:val="left" w:pos="432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jc w:val="center"/>
        <w:spacing w:line="360" w:lineRule="auto"/>
        <w:rPr>
          <w:rFonts w:ascii="宋体" w:hAnsi="宋体" w:cs="宋体"/>
          <w:b/>
          <w:bCs/>
          <w:color w:val="auto"/>
          <w:sz w:val="24"/>
          <w:szCs w:val="24"/>
          <w:highlight w:val="none"/>
        </w:rPr>
      </w:pPr>
      <w:r/>
      <w:bookmarkStart w:id="849" w:name="_Toc78297531"/>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jc w:val="center"/>
        <w:spacing w:line="360" w:lineRule="auto"/>
        <w:rPr>
          <w:rFonts w:ascii="宋体" w:hAnsi="宋体" w:cs="宋体"/>
          <w:b/>
          <w:bCs/>
          <w:color w:val="auto"/>
          <w:sz w:val="24"/>
          <w:szCs w:val="24"/>
          <w:highlight w:val="none"/>
        </w:rPr>
      </w:pPr>
      <w:r>
        <w:rPr>
          <w:rFonts w:ascii="宋体" w:hAnsi="宋体" w:cs="宋体"/>
          <w:b/>
          <w:bCs/>
          <w:color w:val="auto"/>
          <w:sz w:val="24"/>
          <w:szCs w:val="24"/>
          <w:highlight w:val="none"/>
        </w:rPr>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参加政府采购活动前 3 年内在经营活动中没有重大违法记录的书面声明</w:t>
      </w:r>
      <w:bookmarkEnd w:id="849"/>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4"/>
          <w:highlight w:val="none"/>
        </w:rPr>
        <w:t xml:space="preserve">                       </w:t>
      </w:r>
      <w:r>
        <w:rPr>
          <w:rFonts w:hint="eastAsia" w:ascii="宋体" w:hAnsi="宋体" w:cs="宋体"/>
          <w:b/>
          <w:bCs/>
          <w:color w:val="auto"/>
          <w:sz w:val="44"/>
          <w:szCs w:val="44"/>
          <w:highlight w:val="none"/>
        </w:rPr>
        <w:t xml:space="preserve">   </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                   声  明</w:t>
      </w:r>
      <w:r/>
    </w:p>
    <w:p>
      <w:pPr>
        <w:ind w:firstLine="492"/>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t xml:space="preserve"> </w:t>
      </w:r>
      <w:r/>
    </w:p>
    <w:p>
      <w:pPr>
        <w:ind w:firstLine="492"/>
        <w:spacing w:line="460" w:lineRule="exac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92"/>
        <w:jc w:val="center"/>
        <w:keepLines/>
        <w:keepNext/>
        <w:spacing w:before="260" w:after="260" w:line="416" w:lineRule="auto"/>
        <w:rPr>
          <w:rFonts w:hint="eastAsia" w:ascii="Arial" w:hAnsi="Arial" w:eastAsia="幼圆"/>
          <w:b/>
          <w:color w:val="auto"/>
          <w:sz w:val="44"/>
          <w:szCs w:val="20"/>
          <w:highlight w:val="none"/>
        </w:rPr>
        <w:outlineLvl w:val="1"/>
      </w:pPr>
      <w:r>
        <w:rPr>
          <w:rFonts w:hint="eastAsia" w:ascii="Arial" w:hAnsi="Arial" w:eastAsia="幼圆"/>
          <w:b/>
          <w:color w:val="auto"/>
          <w:sz w:val="44"/>
          <w:szCs w:val="20"/>
          <w:highlight w:val="none"/>
        </w:rPr>
      </w:r>
      <w:r/>
    </w:p>
    <w:p>
      <w:pPr>
        <w:spacing w:line="4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p>
      <w:pPr>
        <w:ind w:firstLine="480"/>
        <w:jc w:val="right"/>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供应商名称（公章）：</w:t>
      </w:r>
      <w:r/>
    </w:p>
    <w:p>
      <w:pPr>
        <w:ind w:firstLine="480"/>
        <w:jc w:val="right"/>
        <w:spacing w:line="360" w:lineRule="auto"/>
        <w:rPr>
          <w:rFonts w:ascii="Times New Roman" w:hAnsi="Times New Roman" w:cs="宋体"/>
          <w:color w:val="auto"/>
          <w:sz w:val="24"/>
          <w:szCs w:val="24"/>
          <w:highlight w:val="none"/>
        </w:rPr>
      </w:pPr>
      <w:r>
        <w:rPr>
          <w:rFonts w:ascii="Times New Roman" w:hAnsi="Times New Roman" w:cs="宋体"/>
          <w:color w:val="auto"/>
          <w:sz w:val="24"/>
          <w:szCs w:val="24"/>
          <w:highlight w:val="none"/>
        </w:rPr>
      </w:r>
      <w:r/>
    </w:p>
    <w:p>
      <w:pPr>
        <w:ind w:firstLine="480"/>
        <w:jc w:val="right"/>
        <w:spacing w:line="360" w:lineRule="auto"/>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 xml:space="preserve">日期：______年    月    日</w:t>
      </w:r>
      <w:r/>
    </w:p>
    <w:p>
      <w:pPr>
        <w:jc w:val="center"/>
        <w:spacing w:line="360" w:lineRule="auto"/>
        <w:rPr>
          <w:rFonts w:ascii="宋体" w:hAnsi="宋体" w:cs="宋体"/>
          <w:b/>
          <w:color w:val="auto"/>
          <w:sz w:val="24"/>
          <w:szCs w:val="21"/>
          <w:highlight w:val="none"/>
        </w:rPr>
      </w:pPr>
      <w:r/>
      <w:bookmarkStart w:id="850" w:name="_Toc29999"/>
      <w:r/>
      <w:bookmarkStart w:id="851" w:name="_Toc23314"/>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ascii="宋体" w:hAnsi="宋体" w:cs="宋体"/>
          <w:b/>
          <w:color w:val="auto"/>
          <w:sz w:val="24"/>
          <w:szCs w:val="21"/>
          <w:highlight w:val="none"/>
        </w:rPr>
      </w:pPr>
      <w:r>
        <w:rPr>
          <w:rFonts w:ascii="宋体" w:hAnsi="宋体" w:cs="宋体"/>
          <w:b/>
          <w:color w:val="auto"/>
          <w:sz w:val="24"/>
          <w:szCs w:val="21"/>
          <w:highlight w:val="none"/>
        </w:rPr>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r>
      <w:r/>
    </w:p>
    <w:p>
      <w:pPr>
        <w:rPr>
          <w:rFonts w:hint="eastAsia" w:ascii="宋体" w:hAnsi="宋体" w:cs="宋体"/>
          <w:b/>
          <w:color w:val="auto"/>
          <w:sz w:val="24"/>
          <w:szCs w:val="21"/>
          <w:highlight w:val="none"/>
        </w:rPr>
      </w:pPr>
      <w:r>
        <w:rPr>
          <w:rFonts w:hint="eastAsia" w:ascii="宋体" w:hAnsi="宋体" w:cs="宋体"/>
          <w:b/>
          <w:color w:val="auto"/>
          <w:sz w:val="24"/>
          <w:szCs w:val="21"/>
          <w:highlight w:val="none"/>
        </w:rPr>
        <w:br w:type="page" w:clear="all"/>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采购活动，工程的施工单位全部为符合政策要求的中小企业（或者：服务部由符合政策要求的中小企业承接）。相关企业（含联合体中的中小企业、签订分包意向协议的中小企业）的具体情况如下：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2.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rPr>
        <w:t xml:space="preserve">（采购文件中明确的所属行业）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企业名称（盖章）：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日 期：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从业人员、营业收入、资产总额填报上一年度数据，无上一年度数据的新成立企业可不填报。</w:t>
      </w:r>
      <w:r/>
    </w:p>
    <w:p>
      <w:pPr>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（备注：供应商如不提供此声明函，资格审查不通过。）</w:t>
      </w:r>
      <w:r/>
    </w:p>
    <w:p>
      <w:pPr>
        <w:ind w:firstLine="321"/>
        <w:jc w:val="center"/>
        <w:spacing w:line="360" w:lineRule="auto"/>
        <w:rPr>
          <w:rFonts w:hint="eastAsia" w:ascii="宋体" w:hAnsi="宋体" w:cs="宋体"/>
          <w:b/>
          <w:color w:val="auto"/>
          <w:sz w:val="32"/>
          <w:szCs w:val="32"/>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720" w:equalWidth="1"/>
          <w:docGrid w:linePitch="360"/>
          <w:titlePg/>
        </w:sectPr>
        <w:outlineLvl w:val="0"/>
      </w:pPr>
      <w:r>
        <w:rPr>
          <w:rFonts w:hint="eastAsia" w:ascii="宋体" w:hAnsi="宋体" w:cs="宋体"/>
          <w:b/>
          <w:color w:val="auto"/>
          <w:sz w:val="32"/>
          <w:szCs w:val="32"/>
          <w:highlight w:val="none"/>
        </w:rPr>
      </w:r>
      <w:r/>
    </w:p>
    <w:p>
      <w:pPr>
        <w:ind w:firstLine="321"/>
        <w:jc w:val="center"/>
        <w:spacing w:line="360" w:lineRule="auto"/>
        <w:rPr>
          <w:rFonts w:hint="eastAsia" w:ascii="宋体" w:hAnsi="宋体" w:cs="宋体"/>
          <w:b/>
          <w:color w:val="auto"/>
          <w:sz w:val="32"/>
          <w:szCs w:val="32"/>
          <w:highlight w:val="none"/>
        </w:rPr>
        <w:outlineLvl w:val="0"/>
      </w:pPr>
      <w:r>
        <w:rPr>
          <w:rFonts w:hint="eastAsia" w:ascii="宋体" w:hAnsi="宋体" w:cs="宋体"/>
          <w:b/>
          <w:color w:val="auto"/>
          <w:sz w:val="32"/>
          <w:szCs w:val="32"/>
          <w:highlight w:val="none"/>
        </w:rPr>
        <w:t xml:space="preserve">中小企业划型标准规定</w:t>
      </w:r>
      <w:bookmarkEnd w:id="850"/>
      <w:r/>
      <w:bookmarkEnd w:id="851"/>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cs="宋体"/>
          <w:b/>
          <w:bCs/>
          <w:color w:val="auto"/>
          <w:sz w:val="32"/>
          <w:szCs w:val="32"/>
          <w:highlight w:val="none"/>
        </w:rPr>
      </w:r>
      <w:r/>
    </w:p>
    <w:p>
      <w:pPr>
        <w:jc w:val="center"/>
        <w:spacing w:line="460" w:lineRule="exact"/>
        <w:rPr>
          <w:rFonts w:hint="eastAsia" w:ascii="宋体" w:hAnsi="宋体" w:cs="宋体"/>
          <w:b/>
          <w:color w:val="auto"/>
          <w:sz w:val="32"/>
          <w:szCs w:val="32"/>
          <w:highlight w:val="none"/>
        </w:rPr>
        <w:outlineLvl w:val="0"/>
      </w:pPr>
      <w:r/>
      <w:bookmarkStart w:id="852" w:name="_Toc19659"/>
      <w:r/>
      <w:bookmarkStart w:id="853" w:name="_Toc20404"/>
      <w:r>
        <w:rPr>
          <w:rFonts w:hint="eastAsia" w:ascii="宋体" w:hAnsi="宋体" w:cs="宋体"/>
          <w:b/>
          <w:color w:val="auto"/>
          <w:sz w:val="32"/>
          <w:szCs w:val="32"/>
          <w:highlight w:val="none"/>
        </w:rPr>
        <w:t xml:space="preserve">残疾人福利性单位声明函</w:t>
      </w:r>
      <w:bookmarkEnd w:id="852"/>
      <w:r/>
      <w:bookmarkEnd w:id="853"/>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供应商全称（盖章）：</w:t>
      </w:r>
      <w:r/>
    </w:p>
    <w:p>
      <w:pPr>
        <w:ind w:right="1560" w:firstLine="480"/>
        <w:jc w:val="center"/>
        <w:spacing w:line="588" w:lineRule="exact"/>
        <w:tabs>
          <w:tab w:val="left" w:pos="4860" w:leader="none"/>
        </w:tabs>
        <w:rPr>
          <w:rFonts w:ascii="宋体" w:hAnsi="宋体" w:cs="宋体"/>
          <w:color w:val="auto"/>
          <w:sz w:val="24"/>
          <w:szCs w:val="21"/>
          <w:highlight w:val="none"/>
        </w:rPr>
      </w:pPr>
      <w:r>
        <w:rPr>
          <w:rFonts w:hint="eastAsia" w:ascii="宋体" w:hAnsi="宋体" w:cs="宋体"/>
          <w:color w:val="auto"/>
          <w:sz w:val="24"/>
          <w:szCs w:val="21"/>
          <w:highlight w:val="none"/>
        </w:rPr>
        <w:t xml:space="preserve">                              日  期：</w:t>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监狱企业证明函</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根据《财政部 司法部关于政府采购支持监狱企业发展有关问题的通知》（财库[2014]68号）的规定，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440"/>
        <w:jc w:val="left"/>
        <w:spacing w:before="145" w:after="145" w:line="360" w:lineRule="auto"/>
        <w:widowControl/>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省级以上监狱管理局、戒毒管理局（含新疆生产建设兵团）（盖章）：</w:t>
      </w:r>
      <w:r/>
    </w:p>
    <w:p>
      <w:pPr>
        <w:ind w:left="845" w:firstLine="630"/>
        <w:jc w:val="center"/>
        <w:spacing w:before="145" w:after="145" w:line="360" w:lineRule="auto"/>
        <w:widowControl/>
        <w:tabs>
          <w:tab w:val="left" w:pos="1050" w:leader="none"/>
        </w:tabs>
        <w:rPr>
          <w:rFonts w:hint="eastAsia" w:ascii="宋体" w:hAnsi="宋体" w:cs="宋体"/>
          <w:color w:val="auto"/>
          <w:sz w:val="24"/>
          <w:szCs w:val="24"/>
          <w:highlight w:val="none"/>
        </w:rPr>
        <w:outlineLvl w:val="2"/>
      </w:pPr>
      <w:r>
        <w:rPr>
          <w:rFonts w:hint="eastAsia" w:ascii="宋体" w:hAnsi="宋体" w:cs="宋体"/>
          <w:color w:val="auto"/>
          <w:sz w:val="24"/>
          <w:szCs w:val="24"/>
          <w:highlight w:val="none"/>
          <w:lang w:bidi="ar"/>
        </w:rPr>
        <w:t xml:space="preserve">                                    日  期：</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ind w:firstLine="4237"/>
        <w:keepLines/>
        <w:keepNext/>
        <w:spacing w:before="260" w:after="260" w:line="416" w:lineRule="auto"/>
        <w:rPr>
          <w:rFonts w:hint="eastAsia" w:ascii="宋体" w:hAnsi="宋体"/>
          <w:b/>
          <w:color w:val="auto"/>
          <w:sz w:val="30"/>
          <w:szCs w:val="30"/>
          <w:highlight w:val="none"/>
        </w:rPr>
        <w:outlineLvl w:val="1"/>
      </w:pPr>
      <w:r>
        <w:rPr>
          <w:rFonts w:hint="eastAsia" w:ascii="宋体" w:hAnsi="宋体"/>
          <w:b/>
          <w:color w:val="auto"/>
          <w:sz w:val="30"/>
          <w:szCs w:val="30"/>
          <w:highlight w:val="none"/>
        </w:rPr>
        <w:t xml:space="preserve">投标函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         （采购人）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号采购文件，正式授权下述签字人_________________(姓名)代表我方______________（磋商人的名称），全权处理本次项目投标的有关事宜。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1.按采购文件规定的各项要求，向买方提供所需货物（包含与货物相关的服务）。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2.我们完全理解贵方不一定将合同授予最低报价的磋商人。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3.我们已详细审核全部采购文件及其有效补充文件，我们知道必须放弃提出含糊不清或误解问题的权利。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.一旦我方中标,我方将根据采购文件的规定，严格履行合同的责任和义务,并保证在采购文件规定的时间完成项目，交付买方验收、使用。</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磋商人开户行：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contextualSpacing/>
        <w:spacing w:line="300" w:lineRule="auto"/>
        <w:tabs>
          <w:tab w:val="left" w:pos="1260" w:leader="none"/>
        </w:tabs>
        <w:rPr>
          <w:rFonts w:ascii="宋体" w:hAnsi="宋体" w:cs="宋体"/>
          <w:b/>
          <w:color w:val="auto"/>
          <w:sz w:val="24"/>
          <w:highlight w:val="none"/>
        </w:rPr>
      </w:pPr>
      <w:r>
        <w:rPr>
          <w:rFonts w:ascii="宋体" w:hAnsi="宋体" w:cs="宋体"/>
          <w:b/>
          <w:color w:val="auto"/>
          <w:sz w:val="24"/>
          <w:highlight w:val="none"/>
        </w:rPr>
      </w:r>
      <w:r/>
    </w:p>
    <w:p>
      <w:pPr>
        <w:contextualSpacing/>
        <w:spacing w:line="300" w:lineRule="auto"/>
        <w:tabs>
          <w:tab w:val="left" w:pos="1260" w:leader="none"/>
        </w:tabs>
        <w:rPr>
          <w:rFonts w:ascii="宋体" w:hAnsi="宋体" w:cs="宋体"/>
          <w:b/>
          <w:color w:val="auto"/>
          <w:sz w:val="24"/>
          <w:highlight w:val="none"/>
        </w:rPr>
      </w:pPr>
      <w:r>
        <w:rPr>
          <w:rFonts w:ascii="宋体" w:hAnsi="宋体" w:cs="宋体"/>
          <w:b/>
          <w:color w:val="auto"/>
          <w:sz w:val="24"/>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rPr>
          <w:rFonts w:hint="eastAsia" w:ascii="宋体" w:hAnsi="宋体"/>
          <w:b/>
          <w:color w:val="auto"/>
          <w:sz w:val="30"/>
          <w:szCs w:val="30"/>
          <w:highlight w:val="none"/>
        </w:rPr>
      </w:pPr>
      <w:r>
        <w:rPr>
          <w:rFonts w:hint="eastAsia" w:ascii="宋体" w:hAnsi="宋体"/>
          <w:b/>
          <w:color w:val="auto"/>
          <w:sz w:val="30"/>
          <w:szCs w:val="30"/>
          <w:highlight w:val="none"/>
        </w:rPr>
        <w:t xml:space="preserve">技术要求响应及偏离表（标段：**）</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r/>
    </w:p>
    <w:p>
      <w:pPr>
        <w:jc w:val="center"/>
        <w:rPr>
          <w:rFonts w:hint="eastAsia" w:ascii="宋体" w:hAnsi="宋体"/>
          <w:b/>
          <w:color w:val="auto"/>
          <w:sz w:val="30"/>
          <w:szCs w:val="30"/>
          <w:highlight w:val="none"/>
        </w:rPr>
      </w:pPr>
      <w:r/>
      <w:bookmarkStart w:id="854" w:name="_Hlt26955054"/>
      <w:r/>
      <w:bookmarkEnd w:id="854"/>
      <w:r>
        <w:rPr>
          <w:rFonts w:hint="eastAsia" w:ascii="宋体" w:hAnsi="宋体"/>
          <w:b/>
          <w:color w:val="auto"/>
          <w:sz w:val="30"/>
          <w:szCs w:val="30"/>
          <w:highlight w:val="none"/>
        </w:rPr>
        <w:t xml:space="preserve">商务要求响应及偏离表（标段：**）</w:t>
      </w:r>
      <w:r/>
    </w:p>
    <w:tbl>
      <w:tblPr>
        <w:tblStyle w:val="94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auto"/>
                <w:sz w:val="24"/>
                <w:szCs w:val="24"/>
                <w:highlight w:val="none"/>
              </w:rPr>
            </w:pPr>
            <w:r/>
            <w:bookmarkStart w:id="855" w:name="_Hlt26955064"/>
            <w:r/>
            <w:bookmarkEnd w:id="855"/>
            <w:r/>
            <w:bookmarkStart w:id="856" w:name="_Hlt26671372"/>
            <w:r/>
            <w:bookmarkEnd w:id="856"/>
            <w:r/>
            <w:bookmarkStart w:id="857" w:name="_Hlt24879081"/>
            <w:r/>
            <w:bookmarkEnd w:id="857"/>
            <w:r/>
            <w:bookmarkStart w:id="858" w:name="_Hlt26782999"/>
            <w:r/>
            <w:bookmarkEnd w:id="858"/>
            <w:r/>
            <w:bookmarkStart w:id="859" w:name="_Hlt26609391"/>
            <w:r/>
            <w:bookmarkEnd w:id="859"/>
            <w:r/>
            <w:bookmarkStart w:id="860" w:name="_Hlt26580838"/>
            <w:r/>
            <w:bookmarkEnd w:id="860"/>
            <w:r/>
            <w:bookmarkStart w:id="861" w:name="_Hlt26955056"/>
            <w:r/>
            <w:bookmarkEnd w:id="861"/>
            <w:r/>
            <w:bookmarkStart w:id="862" w:name="_Hlt26671343"/>
            <w:r/>
            <w:bookmarkEnd w:id="862"/>
            <w:r>
              <w:rPr>
                <w:rFonts w:hint="eastAsia" w:ascii="宋体" w:hAnsi="宋体"/>
                <w:color w:val="auto"/>
                <w:sz w:val="24"/>
                <w:szCs w:val="24"/>
                <w:highlight w:val="none"/>
              </w:rPr>
              <w:t xml:space="preserve">序号</w:t>
            </w:r>
            <w:r/>
          </w:p>
        </w:tc>
        <w:tc>
          <w:tcPr>
            <w:tcW w:w="3291"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采购文件要求</w:t>
            </w:r>
            <w:r/>
          </w:p>
        </w:tc>
        <w:tc>
          <w:tcPr>
            <w:tcW w:w="285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545"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3291" w:type="dxa"/>
            <w:vAlign w:val="top"/>
            <w:textDirection w:val="lrTb"/>
            <w:noWrap w:val="false"/>
          </w:tcPr>
          <w:p>
            <w:pPr>
              <w:jc w:val="center"/>
              <w:rPr>
                <w:rFonts w:hint="eastAsia" w:ascii="宋体" w:hAnsi="宋体"/>
                <w:color w:val="auto"/>
                <w:sz w:val="24"/>
                <w:szCs w:val="24"/>
                <w:highlight w:val="none"/>
              </w:rPr>
            </w:pPr>
            <w:r>
              <w:rPr>
                <w:rFonts w:ascii="宋体" w:hAnsi="宋体"/>
                <w:color w:val="auto"/>
                <w:sz w:val="24"/>
                <w:szCs w:val="24"/>
                <w:highlight w:val="none"/>
              </w:rPr>
              <w:t xml:space="preserve">……</w:t>
            </w:r>
            <w:r/>
          </w:p>
        </w:tc>
        <w:tc>
          <w:tcPr>
            <w:tcW w:w="285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17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rPr>
          <w:rFonts w:hint="eastAsia" w:ascii="黑体" w:hAnsi="黑体" w:eastAsia="黑体"/>
          <w:b/>
          <w:color w:val="auto"/>
          <w:sz w:val="32"/>
          <w:szCs w:val="32"/>
          <w:highlight w:val="none"/>
        </w:rPr>
      </w:pPr>
      <w:r>
        <w:rPr>
          <w:rFonts w:hint="eastAsia" w:ascii="宋体" w:hAnsi="宋体"/>
          <w:color w:val="auto"/>
          <w:sz w:val="24"/>
          <w:szCs w:val="24"/>
          <w:highlight w:val="none"/>
        </w:rPr>
        <w:t xml:space="preserve">注： 行数不够，可自行添加。</w:t>
      </w:r>
      <w:bookmarkStart w:id="863" w:name="_格式2__法定代表人授权书"/>
      <w:r/>
      <w:bookmarkEnd w:id="863"/>
      <w:r/>
      <w:bookmarkStart w:id="864" w:name="_Hlt26609389"/>
      <w:r/>
      <w:bookmarkEnd w:id="864"/>
      <w:r/>
      <w:bookmarkStart w:id="865" w:name="_Hlt26955066"/>
      <w:r/>
      <w:bookmarkEnd w:id="865"/>
      <w:r/>
      <w:bookmarkStart w:id="866" w:name="_Hlt26671374"/>
      <w:r/>
      <w:bookmarkEnd w:id="866"/>
      <w:r/>
      <w:r/>
    </w:p>
    <w:p>
      <w:pPr>
        <w:jc w:val="center"/>
        <w:spacing w:line="439" w:lineRule="atLeast"/>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幼圆" w:cs="Arial"/>
          <w:b/>
          <w:color w:val="auto"/>
          <w:sz w:val="24"/>
          <w:szCs w:val="44"/>
          <w:highlight w:val="none"/>
        </w:rPr>
        <w:br w:type="page" w:clear="all"/>
      </w:r>
      <w:r>
        <w:rPr>
          <w:rFonts w:ascii="宋体" w:hAnsi="宋体" w:cs="宋体"/>
          <w:b/>
          <w:color w:val="auto"/>
          <w:sz w:val="30"/>
          <w:highlight w:val="none"/>
        </w:rPr>
        <w:t xml:space="preserve">已标价的工程量清单</w:t>
      </w:r>
      <w:r/>
    </w:p>
    <w:p>
      <w:pPr>
        <w:contextualSpacing/>
        <w:jc w:val="center"/>
        <w:spacing w:line="300" w:lineRule="auto"/>
        <w:tabs>
          <w:tab w:val="left" w:pos="1260" w:leader="none"/>
        </w:tabs>
        <w:rPr>
          <w:rFonts w:eastAsia="黑体" w:cs="宋体"/>
          <w:color w:val="auto"/>
          <w:sz w:val="28"/>
          <w:szCs w:val="20"/>
          <w:highlight w:val="none"/>
        </w:rPr>
      </w:pPr>
      <w:r>
        <w:rPr>
          <w:rFonts w:ascii="宋体" w:hAnsi="宋体" w:cs="宋体"/>
          <w:b/>
          <w:color w:val="auto"/>
          <w:sz w:val="30"/>
          <w:highlight w:val="none"/>
        </w:rPr>
        <w:t xml:space="preserve">（详见附件）</w:t>
      </w:r>
      <w:r/>
    </w:p>
    <w:p>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签字(签章)：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32" w:after="378"/>
        <w:shd w:val="clear" w:color="auto" w:fill="ffffff"/>
        <w:widowControl/>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pStyle w:val="943"/>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4"/>
          <w:highlight w:val="none"/>
          <w:shd w:val="clear" w:color="auto" w:fill="ffffff"/>
        </w:rPr>
      </w:r>
      <w:r/>
    </w:p>
    <w:p>
      <w:pPr>
        <w:ind w:firstLine="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办理政采贷和履约保函（保险）告知函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欢迎贵公司参与南通市政府采购活动！</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highlight w:val="none"/>
        </w:rPr>
      </w:pPr>
      <w:r>
        <w:rPr>
          <w:color w:val="auto"/>
          <w:highlight w:val="none"/>
        </w:rPr>
      </w:r>
      <w:r/>
    </w:p>
    <w:p>
      <w:pPr>
        <w:pStyle w:val="943"/>
        <w:rPr>
          <w:color w:val="auto"/>
          <w:highlight w:val="none"/>
        </w:rPr>
      </w:pPr>
      <w:r>
        <w:rPr>
          <w:color w:val="auto"/>
          <w:highlight w:val="none"/>
        </w:rPr>
      </w:r>
      <w:r/>
    </w:p>
    <w:p>
      <w:pPr>
        <w:rPr>
          <w:color w:val="auto"/>
          <w:highlight w:val="none"/>
        </w:rPr>
      </w:pPr>
      <w:r>
        <w:rPr>
          <w:color w:val="auto"/>
          <w:highlight w:val="none"/>
        </w:rPr>
      </w:r>
      <w:r/>
    </w:p>
    <w:p>
      <w:pPr>
        <w:ind w:left="1423"/>
        <w:spacing w:before="216" w:line="49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20"/>
          <w:sz w:val="35"/>
          <w:szCs w:val="20"/>
          <w:highlight w:val="none"/>
        </w:rPr>
        <w:t xml:space="preserve">政府采购履约验收通知单（参考样本）</w:t>
      </w:r>
      <w:r/>
    </w:p>
    <w:p>
      <w:pPr>
        <w:ind w:left="90"/>
        <w:spacing w:before="254"/>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color w:val="auto"/>
          <w:spacing w:val="9"/>
          <w:sz w:val="23"/>
          <w:szCs w:val="20"/>
          <w:highlight w:val="none"/>
        </w:rPr>
        <w:t xml:space="preserve">供应商：</w:t>
      </w:r>
      <w:r/>
    </w:p>
    <w:p>
      <w:pPr>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color w:val="auto"/>
          <w:szCs w:val="20"/>
          <w:highlight w:val="none"/>
        </w:rPr>
        <w:t xml:space="preserve"> </w:t>
      </w:r>
      <w:r/>
    </w:p>
    <w:tbl>
      <w:tblPr>
        <w:tblStyle w:val="12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10"/>
        <w:gridCol w:w="1845"/>
        <w:gridCol w:w="2139"/>
        <w:gridCol w:w="2369"/>
      </w:tblGrid>
      <w:tr>
        <w:trPr>
          <w:trHeight w:val="5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956"/>
              <w:spacing w:before="231" w:line="315"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采购人</w:t>
            </w:r>
            <w:r/>
          </w:p>
        </w:tc>
        <w:tc>
          <w:tcPr>
            <w:gridSpan w:val="3"/>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5"/>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1"/>
                <w:sz w:val="23"/>
                <w:szCs w:val="20"/>
                <w:highlight w:val="none"/>
              </w:rPr>
              <w:t xml:space="preserve">项目名称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2"/>
              <w:spacing w:before="230"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合同名称</w:t>
            </w:r>
            <w:r/>
          </w:p>
        </w:tc>
        <w:tc>
          <w:tcPr>
            <w:gridSpan w:val="3"/>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7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42"/>
              <w:spacing w:before="230" w:line="311"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8"/>
              <w:spacing w:before="230"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合同金额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5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838"/>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验收时间</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4"/>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4"/>
                <w:sz w:val="23"/>
                <w:szCs w:val="20"/>
                <w:highlight w:val="none"/>
              </w:rPr>
              <w:t xml:space="preserve">验收地点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10" w:type="dxa"/>
            <w:textDirection w:val="lrTb"/>
            <w:noWrap w:val="false"/>
          </w:tcPr>
          <w:p>
            <w:pPr>
              <w:ind w:left="962"/>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z w:val="23"/>
                <w:szCs w:val="20"/>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61"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39" w:type="dxa"/>
            <w:textDirection w:val="lrTb"/>
            <w:noWrap w:val="false"/>
          </w:tcPr>
          <w:p>
            <w:pPr>
              <w:ind w:left="608"/>
              <w:spacing w:before="231" w:line="312"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2"/>
                <w:sz w:val="23"/>
                <w:szCs w:val="20"/>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0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tc>
      </w:tr>
      <w:tr>
        <w:trPr>
          <w:trHeight w:val="560"/>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8" w:type="dxa"/>
            <w:textDirection w:val="lrTb"/>
            <w:noWrap w:val="false"/>
          </w:tcPr>
          <w:p>
            <w:pPr>
              <w:ind w:left="3360"/>
              <w:spacing w:before="233" w:line="311" w:lineRule="atLeast"/>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color w:val="auto"/>
                <w:spacing w:val="7"/>
                <w:sz w:val="23"/>
                <w:szCs w:val="20"/>
                <w:highlight w:val="none"/>
              </w:rPr>
              <w:t xml:space="preserve">履约验收方案及工作要求</w:t>
            </w:r>
            <w:r/>
          </w:p>
        </w:tc>
      </w:tr>
      <w:tr>
        <w:trPr>
          <w:trHeight w:val="4656"/>
        </w:trPr>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18" w:type="dxa"/>
            <w:textDirection w:val="lrTb"/>
            <w:noWrap w:val="false"/>
          </w:tcPr>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p>
          <w:p>
            <w:pPr>
              <w:ind w:left="5124" w:right="2530" w:firstLine="183"/>
              <w:spacing w:before="75"/>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color w:val="auto"/>
                <w:szCs w:val="20"/>
                <w:highlight w:val="none"/>
              </w:rPr>
              <w:t xml:space="preserve"> </w:t>
            </w:r>
            <w:r>
              <w:rPr>
                <w:rFonts w:cs="宋体" w:asciiTheme="minorEastAsia" w:hAnsiTheme="minorEastAsia" w:eastAsiaTheme="minorEastAsia"/>
                <w:color w:val="auto"/>
                <w:szCs w:val="20"/>
                <w:highlight w:val="none"/>
              </w:rPr>
              <w:t xml:space="preserve">单位公章</w:t>
            </w:r>
            <w:r/>
          </w:p>
          <w:p>
            <w:pPr>
              <w:ind w:right="210"/>
              <w:jc w:val="right"/>
              <w:spacing w:before="200" w:after="20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color w:val="auto"/>
                <w:szCs w:val="20"/>
                <w:highlight w:val="none"/>
              </w:rPr>
              <w:t xml:space="preserve">年月日</w:t>
            </w:r>
            <w:r/>
          </w:p>
        </w:tc>
      </w:tr>
    </w:tbl>
    <w:p>
      <w:pPr>
        <w:jc w:val="left"/>
        <w:spacing w:before="240" w:after="240"/>
        <w:widowControl/>
        <w:rPr>
          <w:rFonts w:hint="eastAsia" w:asciiTheme="minorEastAsia" w:hAnsiTheme="minorEastAsia" w:eastAsiaTheme="minorEastAsia"/>
          <w:color w:val="auto"/>
          <w:sz w:val="20"/>
          <w:szCs w:val="20"/>
          <w:highlight w:val="none"/>
        </w:rPr>
        <w:pBdr>
          <w:top w:val="none" w:color="000000" w:sz="0" w:space="0"/>
          <w:left w:val="none" w:color="000000" w:sz="0" w:space="0"/>
          <w:bottom w:val="none" w:color="000000" w:sz="0" w:space="0"/>
          <w:right w:val="none" w:color="000000" w:sz="0" w:space="0"/>
        </w:pBdr>
      </w:pPr>
      <w:r>
        <w:rPr>
          <w:rFonts w:cs="Calibri" w:asciiTheme="minorEastAsia" w:hAnsiTheme="minorEastAsia" w:eastAsiaTheme="minorEastAsia"/>
          <w:b/>
          <w:color w:val="auto"/>
          <w:sz w:val="44"/>
          <w:szCs w:val="20"/>
          <w:highlight w:val="none"/>
        </w:rPr>
        <w:t xml:space="preserve"> </w:t>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rPr>
          <w:rFonts w:hint="eastAsia" w:asciiTheme="minorEastAsia" w:hAnsiTheme="minorEastAsia" w:eastAsiaTheme="minorEastAsia"/>
          <w:color w:val="auto"/>
          <w:szCs w:val="24"/>
          <w:highlight w:val="none"/>
        </w:rPr>
      </w:pPr>
      <w:r>
        <w:rPr>
          <w:rFonts w:hint="eastAsia" w:asciiTheme="minorEastAsia" w:hAnsiTheme="minorEastAsia" w:eastAsiaTheme="minorEastAsia"/>
          <w:color w:val="auto"/>
          <w:szCs w:val="24"/>
          <w:highlight w:val="none"/>
        </w:rPr>
      </w:r>
      <w:r/>
    </w:p>
    <w:p>
      <w:pPr>
        <w:jc w:val="center"/>
        <w:spacing w:before="61" w:after="160" w:line="231" w:lineRule="auto"/>
        <w:widowControl/>
        <w:rPr>
          <w:rFonts w:hint="eastAsia" w:cs="宋体" w:asciiTheme="minorEastAsia" w:hAnsiTheme="minorEastAsia" w:eastAsiaTheme="minorEastAsia"/>
          <w:color w:val="auto"/>
          <w:sz w:val="35"/>
          <w:szCs w:val="35"/>
          <w:highlight w:val="none"/>
        </w:rPr>
      </w:pPr>
      <w:r>
        <w:rPr>
          <w:rFonts w:cs="宋体" w:asciiTheme="minorEastAsia" w:hAnsiTheme="minorEastAsia" w:eastAsiaTheme="minorEastAsia"/>
          <w:b/>
          <w:bCs/>
          <w:color w:val="auto"/>
          <w:spacing w:val="16"/>
          <w:sz w:val="35"/>
          <w:szCs w:val="35"/>
          <w:highlight w:val="none"/>
        </w:rPr>
        <w:t xml:space="preserve">政府采购履约验收书参考样本(工程类)</w:t>
      </w:r>
      <w:r/>
    </w:p>
    <w:p>
      <w:pPr>
        <w:ind w:left="640"/>
        <w:jc w:val="left"/>
        <w:spacing w:before="292" w:line="230" w:lineRule="auto"/>
        <w:widowControl/>
        <w:rPr>
          <w:rFonts w:hint="eastAsia" w:cs="宋体" w:asciiTheme="minorEastAsia" w:hAnsiTheme="minorEastAsia" w:eastAsiaTheme="minorEastAsia"/>
          <w:color w:val="auto"/>
          <w:spacing w:val="7"/>
          <w:sz w:val="17"/>
          <w:szCs w:val="17"/>
          <w:highlight w:val="none"/>
        </w:rPr>
        <w:sectPr>
          <w:footerReference w:type="default" r:id="rId16"/>
          <w:footerReference w:type="first" r:id="rId17"/>
          <w:footnotePr/>
          <w:endnotePr/>
          <w:type w:val="nextPage"/>
          <w:pgSz w:w="11906" w:h="16838" w:orient="portrait"/>
          <w:pgMar w:top="1418" w:right="1588" w:bottom="1418" w:left="1365" w:header="851" w:footer="907" w:gutter="0"/>
          <w:cols w:num="1" w:sep="0" w:space="720" w:equalWidth="1"/>
          <w:docGrid w:linePitch="360"/>
          <w:titlePg/>
        </w:sectPr>
      </w:pPr>
      <w:r>
        <w:rPr>
          <w:rFonts w:hint="eastAsia" w:cs="宋体" w:asciiTheme="minorEastAsia" w:hAnsiTheme="minorEastAsia" w:eastAsiaTheme="minorEastAsia"/>
          <w:color w:val="auto"/>
          <w:spacing w:val="7"/>
          <w:sz w:val="17"/>
          <w:szCs w:val="17"/>
          <w:highlight w:val="none"/>
        </w:rPr>
      </w:r>
      <w:r/>
    </w:p>
    <w:tbl>
      <w:tblPr>
        <w:tblStyle w:val="1255"/>
        <w:tblW w:w="141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5"/>
        <w:gridCol w:w="1972"/>
        <w:gridCol w:w="1842"/>
        <w:gridCol w:w="1994"/>
        <w:gridCol w:w="2127"/>
        <w:gridCol w:w="2164"/>
        <w:gridCol w:w="2260"/>
      </w:tblGrid>
      <w:tr>
        <w:trPr>
          <w:trHeight w:val="562"/>
        </w:trPr>
        <w:tc>
          <w:tcPr>
            <w:tcW w:w="1815" w:type="dxa"/>
            <w:textDirection w:val="lrTb"/>
            <w:noWrap w:val="false"/>
          </w:tcPr>
          <w:p>
            <w:pPr>
              <w:ind w:left="640"/>
              <w:jc w:val="left"/>
              <w:spacing w:before="292"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采购人</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ind w:left="565"/>
              <w:jc w:val="left"/>
              <w:spacing w:before="292"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项目名称</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ind w:left="699"/>
              <w:jc w:val="left"/>
              <w:spacing w:before="292" w:after="160" w:line="233"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合同名称</w:t>
            </w:r>
            <w:r/>
          </w:p>
        </w:tc>
        <w:tc>
          <w:tcPr>
            <w:gridSpan w:val="2"/>
            <w:tcW w:w="442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5"/>
        </w:trPr>
        <w:tc>
          <w:tcPr>
            <w:tcW w:w="1815" w:type="dxa"/>
            <w:textDirection w:val="lrTb"/>
            <w:noWrap w:val="false"/>
          </w:tcPr>
          <w:p>
            <w:pPr>
              <w:ind w:left="641"/>
              <w:jc w:val="left"/>
              <w:spacing w:before="292"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供应商</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ind w:left="294"/>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项目及合同编号</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ind w:left="699"/>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合同金额</w:t>
            </w:r>
            <w:r/>
          </w:p>
        </w:tc>
        <w:tc>
          <w:tcPr>
            <w:gridSpan w:val="2"/>
            <w:tcW w:w="442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0"/>
        </w:trPr>
        <w:tc>
          <w:tcPr>
            <w:tcW w:w="1815" w:type="dxa"/>
            <w:textDirection w:val="lrTb"/>
            <w:noWrap w:val="false"/>
          </w:tcPr>
          <w:p>
            <w:pPr>
              <w:ind w:left="283"/>
              <w:jc w:val="left"/>
              <w:spacing w:before="290"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分期（段）验收</w:t>
            </w:r>
            <w:r/>
          </w:p>
        </w:tc>
        <w:tc>
          <w:tcPr>
            <w:tcW w:w="1972" w:type="dxa"/>
            <w:textDirection w:val="lrTb"/>
            <w:noWrap w:val="false"/>
          </w:tcPr>
          <w:p>
            <w:pPr>
              <w:ind w:left="494"/>
              <w:jc w:val="left"/>
              <w:spacing w:before="290"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4"/>
                <w:sz w:val="17"/>
                <w:szCs w:val="17"/>
                <w:highlight w:val="none"/>
                <w:lang w:eastAsia="en-US"/>
              </w:rPr>
              <w:t xml:space="preserve">是□</w:t>
            </w:r>
            <w:r>
              <w:rPr>
                <w:rFonts w:cs="宋体" w:asciiTheme="minorEastAsia" w:hAnsiTheme="minorEastAsia" w:eastAsiaTheme="minorEastAsia"/>
                <w:color w:val="auto"/>
                <w:spacing w:val="9"/>
                <w:sz w:val="17"/>
                <w:szCs w:val="17"/>
                <w:highlight w:val="none"/>
                <w:lang w:eastAsia="en-US"/>
              </w:rPr>
              <w:t xml:space="preserve">   </w:t>
            </w:r>
            <w:r>
              <w:rPr>
                <w:rFonts w:cs="宋体" w:asciiTheme="minorEastAsia" w:hAnsiTheme="minorEastAsia" w:eastAsiaTheme="minorEastAsia"/>
                <w:color w:val="auto"/>
                <w:spacing w:val="4"/>
                <w:sz w:val="17"/>
                <w:szCs w:val="17"/>
                <w:highlight w:val="none"/>
                <w:lang w:eastAsia="en-US"/>
              </w:rPr>
              <w:t xml:space="preserve">否□</w:t>
            </w:r>
            <w:r/>
          </w:p>
        </w:tc>
        <w:tc>
          <w:tcPr>
            <w:tcW w:w="1842" w:type="dxa"/>
            <w:textDirection w:val="lrTb"/>
            <w:noWrap w:val="false"/>
          </w:tcPr>
          <w:p>
            <w:pPr>
              <w:ind w:left="293"/>
              <w:jc w:val="left"/>
              <w:spacing w:before="290"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分期（段）情况</w:t>
            </w:r>
            <w:r/>
          </w:p>
        </w:tc>
        <w:tc>
          <w:tcPr>
            <w:gridSpan w:val="4"/>
            <w:tcW w:w="8545" w:type="dxa"/>
            <w:textDirection w:val="lrTb"/>
            <w:noWrap w:val="false"/>
          </w:tcPr>
          <w:p>
            <w:pPr>
              <w:ind w:left="2564"/>
              <w:jc w:val="left"/>
              <w:spacing w:before="290"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共分   期（段</w:t>
            </w:r>
            <w:r>
              <w:rPr>
                <w:rFonts w:cs="宋体" w:asciiTheme="minorEastAsia" w:hAnsiTheme="minorEastAsia" w:eastAsiaTheme="minorEastAsia"/>
                <w:color w:val="auto"/>
                <w:spacing w:val="11"/>
                <w:sz w:val="17"/>
                <w:szCs w:val="17"/>
                <w:highlight w:val="none"/>
                <w:lang w:eastAsia="en-US"/>
              </w:rPr>
              <w:t xml:space="preserve">），</w:t>
            </w:r>
            <w:r>
              <w:rPr>
                <w:rFonts w:cs="宋体" w:asciiTheme="minorEastAsia" w:hAnsiTheme="minorEastAsia" w:eastAsiaTheme="minorEastAsia"/>
                <w:color w:val="auto"/>
                <w:spacing w:val="8"/>
                <w:sz w:val="17"/>
                <w:szCs w:val="17"/>
                <w:highlight w:val="none"/>
                <w:lang w:eastAsia="en-US"/>
              </w:rPr>
              <w:t xml:space="preserve">此为第   期（段）验收</w:t>
            </w:r>
            <w:r/>
          </w:p>
        </w:tc>
      </w:tr>
      <w:tr>
        <w:trPr>
          <w:trHeight w:val="1119"/>
        </w:trPr>
        <w:tc>
          <w:tcPr>
            <w:tcW w:w="1815"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4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验收时间</w:t>
            </w:r>
            <w:r/>
          </w:p>
        </w:tc>
        <w:tc>
          <w:tcPr>
            <w:tcW w:w="1972"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84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1"/>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验收地点</w:t>
            </w:r>
            <w:r/>
          </w:p>
        </w:tc>
        <w:tc>
          <w:tcPr>
            <w:tcW w:w="1994"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2127"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17"/>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验收组织形式</w:t>
            </w:r>
            <w:r/>
          </w:p>
        </w:tc>
        <w:tc>
          <w:tcPr>
            <w:gridSpan w:val="2"/>
            <w:tcW w:w="4424" w:type="dxa"/>
            <w:textDirection w:val="lrTb"/>
            <w:noWrap w:val="false"/>
          </w:tcPr>
          <w:p>
            <w:pPr>
              <w:ind w:left="1599"/>
              <w:jc w:val="left"/>
              <w:spacing w:before="292"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□验收小组验收</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1507"/>
              <w:jc w:val="left"/>
              <w:spacing w:before="55"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□采购代理机构验收</w:t>
            </w:r>
            <w:r/>
          </w:p>
        </w:tc>
      </w:tr>
      <w:tr>
        <w:trPr>
          <w:trHeight w:val="1119"/>
        </w:trPr>
        <w:tc>
          <w:tcPr>
            <w:tcBorders>
              <w:bottom w:val="none" w:color="000000" w:sz="4" w:space="0"/>
            </w:tcBorders>
            <w:tcW w:w="1815" w:type="dxa"/>
            <w:vMerge w:val="restart"/>
            <w:textDirection w:val="lrTb"/>
            <w:noWrap w:val="false"/>
          </w:tcPr>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6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4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验收内容</w:t>
            </w:r>
            <w:r/>
          </w:p>
        </w:tc>
        <w:tc>
          <w:tcPr>
            <w:tcW w:w="197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25"/>
              <w:jc w:val="left"/>
              <w:spacing w:before="5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施工内容</w:t>
            </w:r>
            <w:r/>
          </w:p>
        </w:tc>
        <w:tc>
          <w:tcPr>
            <w:tcW w:w="1842"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1"/>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施工进度</w:t>
            </w:r>
            <w:r/>
          </w:p>
        </w:tc>
        <w:tc>
          <w:tcPr>
            <w:tcW w:w="1994"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37"/>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施工质量</w:t>
            </w:r>
            <w:r/>
          </w:p>
        </w:tc>
        <w:tc>
          <w:tcPr>
            <w:tcW w:w="2127" w:type="dxa"/>
            <w:textDirection w:val="lrTb"/>
            <w:noWrap w:val="false"/>
          </w:tcPr>
          <w:p>
            <w:pPr>
              <w:ind w:left="719"/>
              <w:jc w:val="left"/>
              <w:spacing w:before="291"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施工人员</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19"/>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配备情况</w:t>
            </w:r>
            <w:r/>
          </w:p>
        </w:tc>
        <w:tc>
          <w:tcPr>
            <w:tcW w:w="2164" w:type="dxa"/>
            <w:textDirection w:val="lrTb"/>
            <w:noWrap w:val="false"/>
          </w:tcPr>
          <w:p>
            <w:pPr>
              <w:ind w:left="754"/>
              <w:jc w:val="left"/>
              <w:spacing w:before="291"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施工设备</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55"/>
              <w:jc w:val="left"/>
              <w:spacing w:before="55" w:after="160" w:line="232"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配备情况</w:t>
            </w:r>
            <w:r/>
          </w:p>
        </w:tc>
        <w:tc>
          <w:tcPr>
            <w:tcW w:w="2260" w:type="dxa"/>
            <w:textDirection w:val="lrTb"/>
            <w:noWrap w:val="false"/>
          </w:tcPr>
          <w:p>
            <w:pPr>
              <w:jc w:val="left"/>
              <w:spacing w:after="160" w:line="256"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13"/>
              <w:jc w:val="left"/>
              <w:spacing w:before="5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安全文明标准</w:t>
            </w:r>
            <w:r/>
          </w:p>
        </w:tc>
      </w:tr>
      <w:tr>
        <w:trPr>
          <w:trHeight w:val="1119"/>
        </w:trPr>
        <w:tc>
          <w:tcPr>
            <w:tcBorders>
              <w:top w:val="none" w:color="000000" w:sz="4" w:space="0"/>
            </w:tcBorders>
            <w:tcW w:w="1815" w:type="dxa"/>
            <w:vMerge w:val="continue"/>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c>
          <w:tcPr>
            <w:tcW w:w="1972" w:type="dxa"/>
            <w:textDirection w:val="lrTb"/>
            <w:noWrap w:val="false"/>
          </w:tcPr>
          <w:p>
            <w:pPr>
              <w:ind w:left="718"/>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合格□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29"/>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1842" w:type="dxa"/>
            <w:textDirection w:val="lrTb"/>
            <w:noWrap w:val="false"/>
          </w:tcPr>
          <w:p>
            <w:pPr>
              <w:ind w:left="563"/>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65"/>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1994" w:type="dxa"/>
            <w:textDirection w:val="lrTb"/>
            <w:noWrap w:val="false"/>
          </w:tcPr>
          <w:p>
            <w:pPr>
              <w:ind w:left="638"/>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640"/>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127" w:type="dxa"/>
            <w:textDirection w:val="lrTb"/>
            <w:noWrap w:val="false"/>
          </w:tcPr>
          <w:p>
            <w:pPr>
              <w:ind w:left="720"/>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22"/>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164" w:type="dxa"/>
            <w:textDirection w:val="lrTb"/>
            <w:noWrap w:val="false"/>
          </w:tcPr>
          <w:p>
            <w:pPr>
              <w:ind w:left="755"/>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58"/>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c>
          <w:tcPr>
            <w:tcW w:w="2260" w:type="dxa"/>
            <w:textDirection w:val="lrTb"/>
            <w:noWrap w:val="false"/>
          </w:tcPr>
          <w:p>
            <w:pPr>
              <w:ind w:left="790"/>
              <w:jc w:val="left"/>
              <w:spacing w:before="293"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5"/>
                <w:sz w:val="17"/>
                <w:szCs w:val="17"/>
                <w:highlight w:val="none"/>
                <w:lang w:eastAsia="en-US"/>
              </w:rPr>
              <w:t xml:space="preserve">合</w:t>
            </w:r>
            <w:r>
              <w:rPr>
                <w:rFonts w:cs="宋体" w:asciiTheme="minorEastAsia" w:hAnsiTheme="minorEastAsia" w:eastAsiaTheme="minorEastAsia"/>
                <w:color w:val="auto"/>
                <w:spacing w:val="8"/>
                <w:sz w:val="17"/>
                <w:szCs w:val="17"/>
                <w:highlight w:val="none"/>
                <w:lang w:eastAsia="en-US"/>
              </w:rPr>
              <w:t xml:space="preserve">  </w:t>
            </w:r>
            <w:r>
              <w:rPr>
                <w:rFonts w:cs="宋体" w:asciiTheme="minorEastAsia" w:hAnsiTheme="minorEastAsia" w:eastAsiaTheme="minorEastAsia"/>
                <w:color w:val="auto"/>
                <w:spacing w:val="5"/>
                <w:sz w:val="17"/>
                <w:szCs w:val="17"/>
                <w:highlight w:val="none"/>
                <w:lang w:eastAsia="en-US"/>
              </w:rPr>
              <w:t xml:space="preserve">格□</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792"/>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不合格□</w:t>
            </w:r>
            <w:r/>
          </w:p>
        </w:tc>
      </w:tr>
      <w:tr>
        <w:trPr>
          <w:trHeight w:val="1119"/>
        </w:trPr>
        <w:tc>
          <w:tcPr>
            <w:tcW w:w="1815" w:type="dxa"/>
            <w:textDirection w:val="lrTb"/>
            <w:noWrap w:val="false"/>
          </w:tcPr>
          <w:p>
            <w:pPr>
              <w:ind w:left="369"/>
              <w:jc w:val="left"/>
              <w:spacing w:before="294"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采购代理机构</w:t>
            </w:r>
            <w:r/>
          </w:p>
          <w:p>
            <w:pPr>
              <w:jc w:val="left"/>
              <w:spacing w:after="160" w:line="290"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50"/>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情况说明</w:t>
            </w:r>
            <w:r/>
          </w:p>
        </w:tc>
        <w:tc>
          <w:tcPr>
            <w:gridSpan w:val="6"/>
            <w:tcW w:w="12359" w:type="dxa"/>
            <w:textDirection w:val="lrTb"/>
            <w:noWrap w:val="false"/>
          </w:tcPr>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jc w:val="left"/>
              <w:spacing w:after="160" w:line="257"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4032"/>
              <w:jc w:val="left"/>
              <w:spacing w:before="56" w:after="160" w:line="230"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（设计、监理等机构可根据实际情况，出具相关意见）</w:t>
            </w:r>
            <w:r/>
          </w:p>
        </w:tc>
      </w:tr>
      <w:tr>
        <w:trPr>
          <w:trHeight w:val="1119"/>
        </w:trPr>
        <w:tc>
          <w:tcPr>
            <w:tcW w:w="1815" w:type="dxa"/>
            <w:textDirection w:val="lrTb"/>
            <w:noWrap w:val="false"/>
          </w:tcPr>
          <w:p>
            <w:pPr>
              <w:ind w:left="460"/>
              <w:jc w:val="left"/>
              <w:spacing w:before="296"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8"/>
                <w:sz w:val="17"/>
                <w:szCs w:val="17"/>
                <w:highlight w:val="none"/>
                <w:lang w:eastAsia="en-US"/>
              </w:rPr>
              <w:t xml:space="preserve">存在问题和</w:t>
            </w:r>
            <w:r/>
          </w:p>
          <w:p>
            <w:pPr>
              <w:jc w:val="left"/>
              <w:spacing w:after="160" w:line="289"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p>
            <w:pPr>
              <w:ind w:left="556"/>
              <w:jc w:val="left"/>
              <w:spacing w:before="5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改进意见</w:t>
            </w:r>
            <w:r/>
          </w:p>
        </w:tc>
        <w:tc>
          <w:tcPr>
            <w:gridSpan w:val="6"/>
            <w:tcW w:w="12359" w:type="dxa"/>
            <w:textDirection w:val="lrTb"/>
            <w:noWrap w:val="false"/>
          </w:tcPr>
          <w:p>
            <w:pPr>
              <w:jc w:val="left"/>
              <w:spacing w:after="160" w:line="278" w:lineRule="auto"/>
              <w:widowControl/>
              <w:rPr>
                <w:rFonts w:hint="eastAsia" w:cs="Arial" w:asciiTheme="minorEastAsia" w:hAnsiTheme="minorEastAsia" w:eastAsiaTheme="minorEastAsia"/>
                <w:color w:val="auto"/>
                <w:szCs w:val="21"/>
                <w:highlight w:val="none"/>
                <w:lang w:eastAsia="en-US"/>
              </w:rPr>
            </w:pPr>
            <w:r>
              <w:rPr>
                <w:rFonts w:hint="eastAsia" w:cs="Arial" w:asciiTheme="minorEastAsia" w:hAnsiTheme="minorEastAsia" w:eastAsiaTheme="minorEastAsia"/>
                <w:color w:val="auto"/>
                <w:szCs w:val="21"/>
                <w:highlight w:val="none"/>
                <w:lang w:eastAsia="en-US"/>
              </w:rPr>
            </w:r>
            <w:r/>
          </w:p>
        </w:tc>
      </w:tr>
      <w:tr>
        <w:trPr>
          <w:trHeight w:val="560"/>
        </w:trPr>
        <w:tc>
          <w:tcPr>
            <w:tcW w:w="1815" w:type="dxa"/>
            <w:textDirection w:val="lrTb"/>
            <w:noWrap w:val="false"/>
          </w:tcPr>
          <w:p>
            <w:pPr>
              <w:ind w:left="552"/>
              <w:jc w:val="left"/>
              <w:spacing w:before="29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7"/>
                <w:sz w:val="17"/>
                <w:szCs w:val="17"/>
                <w:highlight w:val="none"/>
                <w:lang w:eastAsia="en-US"/>
              </w:rPr>
              <w:t xml:space="preserve">最终结论</w:t>
            </w:r>
            <w:r/>
          </w:p>
        </w:tc>
        <w:tc>
          <w:tcPr>
            <w:gridSpan w:val="6"/>
            <w:tcW w:w="12359" w:type="dxa"/>
            <w:textDirection w:val="lrTb"/>
            <w:noWrap w:val="false"/>
          </w:tcPr>
          <w:p>
            <w:pPr>
              <w:ind w:left="4111"/>
              <w:jc w:val="left"/>
              <w:spacing w:before="295" w:after="160" w:line="231" w:lineRule="auto"/>
              <w:widowControl/>
              <w:rPr>
                <w:rFonts w:hint="eastAsia" w:cs="宋体" w:asciiTheme="minorEastAsia" w:hAnsiTheme="minorEastAsia" w:eastAsiaTheme="minorEastAsia"/>
                <w:color w:val="auto"/>
                <w:sz w:val="17"/>
                <w:szCs w:val="17"/>
                <w:highlight w:val="none"/>
                <w:lang w:eastAsia="en-US"/>
              </w:rPr>
            </w:pPr>
            <w:r>
              <w:rPr>
                <w:rFonts w:cs="宋体" w:asciiTheme="minorEastAsia" w:hAnsiTheme="minorEastAsia" w:eastAsiaTheme="minorEastAsia"/>
                <w:color w:val="auto"/>
                <w:spacing w:val="6"/>
                <w:sz w:val="17"/>
                <w:szCs w:val="17"/>
                <w:highlight w:val="none"/>
                <w:lang w:eastAsia="en-US"/>
              </w:rPr>
              <w:t xml:space="preserve">合  格□</w:t>
            </w:r>
            <w:r>
              <w:rPr>
                <w:rFonts w:cs="宋体" w:asciiTheme="minorEastAsia" w:hAnsiTheme="minorEastAsia" w:eastAsiaTheme="minorEastAsia"/>
                <w:color w:val="auto"/>
                <w:spacing w:val="3"/>
                <w:sz w:val="17"/>
                <w:szCs w:val="17"/>
                <w:highlight w:val="none"/>
                <w:lang w:eastAsia="en-US"/>
              </w:rPr>
              <w:t xml:space="preserve">                   </w:t>
            </w:r>
            <w:r>
              <w:rPr>
                <w:rFonts w:cs="宋体" w:asciiTheme="minorEastAsia" w:hAnsiTheme="minorEastAsia" w:eastAsiaTheme="minorEastAsia"/>
                <w:color w:val="auto"/>
                <w:spacing w:val="2"/>
                <w:sz w:val="17"/>
                <w:szCs w:val="17"/>
                <w:highlight w:val="none"/>
                <w:lang w:eastAsia="en-US"/>
              </w:rPr>
              <w:t xml:space="preserve">            </w:t>
            </w:r>
            <w:r>
              <w:rPr>
                <w:rFonts w:cs="宋体" w:asciiTheme="minorEastAsia" w:hAnsiTheme="minorEastAsia" w:eastAsiaTheme="minorEastAsia"/>
                <w:color w:val="auto"/>
                <w:spacing w:val="6"/>
                <w:sz w:val="17"/>
                <w:szCs w:val="17"/>
                <w:highlight w:val="none"/>
                <w:lang w:eastAsia="en-US"/>
              </w:rPr>
              <w:t xml:space="preserve">不合格□</w:t>
            </w:r>
            <w:r/>
          </w:p>
        </w:tc>
      </w:tr>
    </w:tbl>
    <w:p>
      <w:pPr>
        <w:jc w:val="left"/>
        <w:spacing w:after="160" w:line="65" w:lineRule="exact"/>
        <w:widowControl/>
        <w:rPr>
          <w:rFonts w:hint="eastAsia" w:cs="Arial" w:asciiTheme="minorEastAsia" w:hAnsiTheme="minorEastAsia" w:eastAsiaTheme="minorEastAsia"/>
          <w:color w:val="auto"/>
          <w:sz w:val="5"/>
          <w:szCs w:val="21"/>
          <w:highlight w:val="none"/>
        </w:rPr>
        <w:sectPr>
          <w:footnotePr/>
          <w:endnotePr/>
          <w:type w:val="nextPage"/>
          <w:pgSz w:w="16838" w:h="11906" w:orient="landscape"/>
          <w:pgMar w:top="1588" w:right="1418" w:bottom="1366" w:left="1418" w:header="851" w:footer="907" w:gutter="0"/>
          <w:cols w:num="1" w:sep="0" w:space="720" w:equalWidth="1"/>
          <w:docGrid w:linePitch="360"/>
          <w:titlePg/>
        </w:sectPr>
      </w:pPr>
      <w:r>
        <w:rPr>
          <w:rFonts w:hint="eastAsia" w:cs="Arial" w:asciiTheme="minorEastAsia" w:hAnsiTheme="minorEastAsia" w:eastAsiaTheme="minorEastAsia"/>
          <w:color w:val="auto"/>
          <w:sz w:val="5"/>
          <w:szCs w:val="21"/>
          <w:highlight w:val="none"/>
        </w:rPr>
      </w:r>
      <w:r/>
    </w:p>
    <w:p>
      <w:pPr>
        <w:pStyle w:val="943"/>
        <w:jc w:val="both"/>
        <w:rPr>
          <w:color w:val="auto"/>
          <w:highlight w:val="none"/>
        </w:rPr>
      </w:pPr>
      <w:r>
        <w:rPr>
          <w:color w:val="auto"/>
          <w:highlight w:val="none"/>
        </w:rPr>
      </w:r>
      <w:r/>
    </w:p>
    <w:sectPr>
      <w:headerReference w:type="default" r:id="rId11"/>
      <w:footerReference w:type="default" r:id="rId18"/>
      <w:footerReference w:type="even" r:id="rId19"/>
      <w:footnotePr/>
      <w:endnotePr/>
      <w:type w:val="nextPage"/>
      <w:pgSz w:w="11906" w:h="16838" w:orient="portrait"/>
      <w:pgMar w:top="1418" w:right="1588" w:bottom="1418" w:left="1365" w:header="851" w:footer="907" w:gutter="0"/>
      <w:pgNumType w:start="8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等线">
    <w:panose1 w:val="02010600030101010101"/>
  </w:font>
  <w:font w:name="等线 Light">
    <w:panose1 w:val="02010600030101010101"/>
  </w:font>
  <w:font w:name="方正楷体_GBK">
    <w:panose1 w:val="020B0503020202020204"/>
  </w:font>
  <w:font w:name="方正黑体_GBK">
    <w:panose1 w:val="020B0503020202020204"/>
  </w:font>
  <w:font w:name="Book Antiqua">
    <w:panose1 w:val="02040602050305030304"/>
  </w:font>
  <w:font w:name="Tahoma">
    <w:panose1 w:val="020B0604030504040204"/>
  </w:font>
  <w:font w:name="Courier New">
    <w:panose1 w:val="02070309020205020404"/>
  </w:font>
  <w:font w:name="华文中宋">
    <w:panose1 w:val="02010600040101010101"/>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Bold">
    <w:panose1 w:val="020F0502020204030204"/>
  </w:font>
  <w:font w:name="Arial Unicode MS">
    <w:panose1 w:val="020B0604020202020204"/>
  </w:font>
  <w:font w:name="Arial">
    <w:panose1 w:val="020B0604020202020204"/>
  </w:font>
  <w:font w:name="Calibri">
    <w:panose1 w:val="020F0502020204030204"/>
  </w:font>
  <w:font w:name="微软雅黑">
    <w:panose1 w:val="020B0503020204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tabs>
        <w:tab w:val="clear" w:pos="4153" w:leader="none"/>
        <w:tab w:val="center" w:pos="6962"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tab/>
    </w:r>
    <w:r/>
  </w:p>
  <w:p>
    <w:pPr>
      <w:pStyle w:val="1155"/>
      <w:tabs>
        <w:tab w:val="clear" w:pos="4153" w:leader="none"/>
        <w:tab w:val="center" w:pos="6962"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5"/>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5"/>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jc w:val="center"/>
    </w:pPr>
    <w:r>
      <w:fldChar w:fldCharType="begin"/>
    </w:r>
    <w:r>
      <w:instrText xml:space="preserve"> PAGE   \* MERGEFORMAT </w:instrText>
    </w:r>
    <w:r>
      <w:fldChar w:fldCharType="separate"/>
    </w:r>
    <w:r>
      <w:rPr>
        <w:lang w:val="zh-CN"/>
      </w:rPr>
      <w:t xml:space="preserve">93</w:t>
    </w:r>
    <w:r>
      <w:fldChar w:fldCharType="end"/>
    </w:r>
    <w:r/>
  </w:p>
  <w:p>
    <w:pPr>
      <w:pStyle w:val="1155"/>
      <w:tabs>
        <w:tab w:val="clear" w:pos="4153" w:leader="none"/>
        <w:tab w:val="left" w:pos="5708"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rStyle w:val="1175"/>
      </w:rPr>
      <w:framePr w:wrap="around" w:vAnchor="text" w:hAnchor="margin" w:xAlign="center" w:y="1"/>
    </w:pPr>
    <w:r>
      <w:fldChar w:fldCharType="begin"/>
    </w:r>
    <w:r>
      <w:rPr>
        <w:rStyle w:val="1175"/>
      </w:rPr>
      <w:instrText xml:space="preserve">PAGE  </w:instrText>
    </w:r>
    <w:r>
      <w:fldChar w:fldCharType="separate"/>
    </w:r>
    <w:r>
      <w:rPr>
        <w:rStyle w:val="1175"/>
      </w:rPr>
      <w:t xml:space="preserve">1</w:t>
    </w:r>
    <w:r>
      <w:fldChar w:fldCharType="end"/>
    </w:r>
    <w:r/>
  </w:p>
  <w:p>
    <w:pPr>
      <w:pStyle w:val="11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2</w:t>
    </w:r>
    <w:r>
      <w:fldChar w:fldCharType="end"/>
    </w:r>
    <w:r/>
  </w:p>
  <w:p>
    <w:pPr>
      <w:pStyle w:val="950"/>
      <w:jc w:val="center"/>
      <w:tabs>
        <w:tab w:val="center" w:pos="4153" w:leader="none"/>
        <w:tab w:val="clear" w:pos="7143" w:leader="none"/>
        <w:tab w:val="right" w:pos="8306" w:leader="none"/>
        <w:tab w:val="clear" w:pos="14287" w:leader="none"/>
      </w:tabs>
      <w:rPr>
        <w:b/>
        <w:i/>
      </w:rPr>
    </w:pPr>
    <w:r>
      <w:rPr>
        <w:b/>
        <w:i/>
      </w:rPr>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１</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rStyle w:val="1175"/>
        <w:rFonts w:ascii="宋体" w:hAnsi="宋体"/>
      </w:rPr>
      <w:framePr w:wrap="around" w:vAnchor="text" w:hAnchor="margin" w:xAlign="center" w:y="1"/>
    </w:pPr>
    <w:r>
      <w:rPr>
        <w:rFonts w:ascii="宋体" w:hAnsi="宋体"/>
      </w:rPr>
      <w:fldChar w:fldCharType="begin"/>
    </w:r>
    <w:r>
      <w:rPr>
        <w:rStyle w:val="1175"/>
        <w:rFonts w:ascii="宋体" w:hAnsi="宋体"/>
      </w:rPr>
      <w:instrText xml:space="preserve">PAGE  </w:instrText>
    </w:r>
    <w:r>
      <w:rPr>
        <w:rFonts w:ascii="宋体" w:hAnsi="宋体"/>
      </w:rPr>
      <w:fldChar w:fldCharType="separate"/>
    </w:r>
    <w:r>
      <w:rPr>
        <w:rStyle w:val="1175"/>
        <w:rFonts w:ascii="宋体" w:hAnsi="宋体"/>
      </w:rPr>
      <w:t xml:space="preserve">３９</w:t>
    </w:r>
    <w:r>
      <w:rPr>
        <w:rFonts w:ascii="宋体" w:hAnsi="宋体"/>
      </w:rPr>
      <w:fldChar w:fldCharType="end"/>
    </w:r>
    <w:r/>
  </w:p>
  <w:p>
    <w:pPr>
      <w:pStyle w:val="1155"/>
      <w:jc w:val="center"/>
      <w:rPr>
        <w:rFonts w:hint="eastAsia"/>
        <w:b/>
        <w:i/>
      </w:rPr>
    </w:pPr>
    <w:r>
      <w:rPr>
        <w:b/>
        <w:i/>
        <w:sz w:val="20"/>
      </w:rPr>
      <w:t xml:space="preserve"> </w:t>
    </w:r>
    <w:r/>
  </w:p>
  <w:p>
    <w:pPr>
      <w:rPr>
        <w:rFonts w:hint="eastAsia"/>
        <w:b/>
        <w:i/>
      </w:rPr>
    </w:pPr>
    <w:r>
      <w:rPr>
        <w:rFonts w:hint="eastAsia"/>
        <w:b/>
        <w:i/>
      </w:rPr>
    </w:r>
    <w:r/>
  </w:p>
  <w:p>
    <w:pPr>
      <w:rPr>
        <w:rFonts w:hint="eastAsia"/>
        <w:b/>
        <w:i/>
      </w:rPr>
    </w:pPr>
    <w:r>
      <w:rPr>
        <w:rFonts w:hint="eastAsia"/>
        <w:b/>
        <w:i/>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5"/>
      <w:rPr>
        <w:rStyle w:val="1175"/>
      </w:rPr>
      <w:framePr w:wrap="around" w:vAnchor="text" w:hAnchor="margin" w:xAlign="center" w:y="1"/>
    </w:pPr>
    <w:r>
      <w:fldChar w:fldCharType="begin"/>
    </w:r>
    <w:r>
      <w:rPr>
        <w:rStyle w:val="1175"/>
      </w:rPr>
      <w:instrText xml:space="preserve">PAGE  </w:instrText>
    </w:r>
    <w:r>
      <w:fldChar w:fldCharType="separate"/>
    </w:r>
    <w:r>
      <w:rPr>
        <w:rStyle w:val="1175"/>
      </w:rPr>
      <w:t xml:space="preserve">1</w:t>
    </w:r>
    <w:r>
      <w:fldChar w:fldCharType="end"/>
    </w:r>
    <w:r/>
  </w:p>
  <w:p>
    <w:pPr>
      <w:pStyle w:val="1155"/>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tabs>
        <w:tab w:val="left" w:pos="3565" w:leader="none"/>
        <w:tab w:val="clear" w:pos="4153" w:leader="none"/>
        <w:tab w:val="clear" w:pos="8306"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7"/>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19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19"/>
      <w:isLgl w:val="false"/>
      <w:suff w:val="nothing"/>
      <w:lvlText w:val=""/>
      <w:lvlJc w:val="left"/>
      <w:pPr>
        <w:ind w:left="0" w:firstLine="0"/>
      </w:pPr>
      <w:rPr>
        <w:rFonts w:hint="eastAsia"/>
      </w:rPr>
    </w:lvl>
    <w:lvl w:ilvl="6">
      <w:start w:val="1"/>
      <w:numFmt w:val="decimal"/>
      <w:pStyle w:val="1120"/>
      <w:isLgl w:val="false"/>
      <w:suff w:val="nothing"/>
      <w:lvlText w:val=""/>
      <w:lvlJc w:val="left"/>
      <w:pPr>
        <w:ind w:left="0" w:firstLine="0"/>
      </w:pPr>
      <w:rPr>
        <w:rFonts w:hint="eastAsia"/>
      </w:rPr>
    </w:lvl>
    <w:lvl w:ilvl="7">
      <w:start w:val="1"/>
      <w:numFmt w:val="decimal"/>
      <w:pStyle w:val="1121"/>
      <w:isLgl w:val="false"/>
      <w:suff w:val="nothing"/>
      <w:lvlText w:val=""/>
      <w:lvlJc w:val="left"/>
      <w:pPr>
        <w:ind w:left="0" w:firstLine="0"/>
      </w:pPr>
      <w:rPr>
        <w:rFonts w:hint="eastAsia"/>
      </w:rPr>
    </w:lvl>
    <w:lvl w:ilvl="8">
      <w:start w:val="1"/>
      <w:numFmt w:val="decimal"/>
      <w:pStyle w:val="1122"/>
      <w:isLgl w:val="false"/>
      <w:suff w:val="nothing"/>
      <w:lvlText w:val=""/>
      <w:lvlJc w:val="left"/>
      <w:pPr>
        <w:ind w:left="0" w:firstLine="0"/>
      </w:pPr>
      <w:rPr>
        <w:rFonts w:hint="eastAsia"/>
      </w:rPr>
    </w:lvl>
  </w:abstractNum>
  <w:abstractNum w:abstractNumId="4">
    <w:multiLevelType w:val="hybridMultilevel"/>
    <w:lvl w:ilvl="0">
      <w:start w:val="3"/>
      <w:numFmt w:val="chineseCounting"/>
      <w:isLgl w:val="false"/>
      <w:suff w:val="nothing"/>
      <w:lvlText w:val="%1、"/>
      <w:lvlJc w:val="left"/>
      <w:pPr>
        <w:ind w:left="0" w:firstLine="0"/>
      </w:p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5">
    <w:multiLevelType w:val="hybridMultilevel"/>
    <w:lvl w:ilvl="0">
      <w:start w:val="1"/>
      <w:numFmt w:val="japaneseCounting"/>
      <w:isLgl w:val="false"/>
      <w:suff w:val="tab"/>
      <w:lvlText w:val="（%1）"/>
      <w:lvlJc w:val="left"/>
      <w:pPr>
        <w:ind w:left="1140" w:hanging="720"/>
      </w:pPr>
    </w:lvl>
    <w:lvl w:ilvl="1">
      <w:start w:val="1"/>
      <w:numFmt w:val="lowerLetter"/>
      <w:isLgl w:val="false"/>
      <w:suff w:val="tab"/>
      <w:lvlText w:val="%2)"/>
      <w:lvlJc w:val="left"/>
      <w:pPr>
        <w:ind w:left="1300" w:hanging="440"/>
      </w:pPr>
    </w:lvl>
    <w:lvl w:ilvl="2">
      <w:start w:val="1"/>
      <w:numFmt w:val="lowerRoman"/>
      <w:isLgl w:val="false"/>
      <w:suff w:val="tab"/>
      <w:lvlText w:val="%3."/>
      <w:lvlJc w:val="right"/>
      <w:pPr>
        <w:ind w:left="1740" w:hanging="440"/>
      </w:pPr>
    </w:lvl>
    <w:lvl w:ilvl="3">
      <w:start w:val="1"/>
      <w:numFmt w:val="decimal"/>
      <w:isLgl w:val="false"/>
      <w:suff w:val="tab"/>
      <w:lvlText w:val="%4."/>
      <w:lvlJc w:val="left"/>
      <w:pPr>
        <w:ind w:left="2180" w:hanging="440"/>
      </w:pPr>
    </w:lvl>
    <w:lvl w:ilvl="4">
      <w:start w:val="1"/>
      <w:numFmt w:val="lowerLetter"/>
      <w:isLgl w:val="false"/>
      <w:suff w:val="tab"/>
      <w:lvlText w:val="%5)"/>
      <w:lvlJc w:val="left"/>
      <w:pPr>
        <w:ind w:left="2620" w:hanging="440"/>
      </w:pPr>
    </w:lvl>
    <w:lvl w:ilvl="5">
      <w:start w:val="1"/>
      <w:numFmt w:val="lowerRoman"/>
      <w:isLgl w:val="false"/>
      <w:suff w:val="tab"/>
      <w:lvlText w:val="%6."/>
      <w:lvlJc w:val="right"/>
      <w:pPr>
        <w:ind w:left="3060" w:hanging="440"/>
      </w:pPr>
    </w:lvl>
    <w:lvl w:ilvl="6">
      <w:start w:val="1"/>
      <w:numFmt w:val="decimal"/>
      <w:isLgl w:val="false"/>
      <w:suff w:val="tab"/>
      <w:lvlText w:val="%7."/>
      <w:lvlJc w:val="left"/>
      <w:pPr>
        <w:ind w:left="3500" w:hanging="440"/>
      </w:pPr>
    </w:lvl>
    <w:lvl w:ilvl="7">
      <w:start w:val="1"/>
      <w:numFmt w:val="lowerLetter"/>
      <w:isLgl w:val="false"/>
      <w:suff w:val="tab"/>
      <w:lvlText w:val="%8)"/>
      <w:lvlJc w:val="left"/>
      <w:pPr>
        <w:ind w:left="3940" w:hanging="440"/>
      </w:pPr>
    </w:lvl>
    <w:lvl w:ilvl="8">
      <w:start w:val="1"/>
      <w:numFmt w:val="lowerRoman"/>
      <w:isLgl w:val="false"/>
      <w:suff w:val="tab"/>
      <w:lvlText w:val="%9."/>
      <w:lvlJc w:val="right"/>
      <w:pPr>
        <w:ind w:left="4380" w:hanging="440"/>
      </w:pPr>
    </w:lvl>
  </w:abstractNum>
  <w:abstractNum w:abstractNumId="6">
    <w:multiLevelType w:val="hybridMultilevel"/>
    <w:lvl w:ilvl="0">
      <w:start w:val="1"/>
      <w:numFmt w:val="decimal"/>
      <w:pStyle w:val="119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31" w:default="1">
    <w:name w:val="Normal"/>
    <w:next w:val="943"/>
    <w:link w:val="1231"/>
    <w:uiPriority w:val="0"/>
    <w:qFormat/>
    <w:pPr>
      <w:jc w:val="both"/>
      <w:widowControl w:val="off"/>
    </w:pPr>
    <w:rPr>
      <w:rFonts w:hint="default" w:ascii="Calibri" w:hAnsi="Calibri" w:eastAsia="宋体" w:cs="Times New Roman"/>
      <w:sz w:val="21"/>
      <w:szCs w:val="22"/>
      <w:lang w:val="en-US" w:eastAsia="zh-CN" w:bidi="ar-SA"/>
    </w:rPr>
  </w:style>
  <w:style w:type="paragraph" w:styleId="932">
    <w:name w:val="Heading 1"/>
    <w:basedOn w:val="931"/>
    <w:next w:val="931"/>
    <w:link w:val="966"/>
    <w:uiPriority w:val="9"/>
    <w:qFormat/>
    <w:pPr>
      <w:keepLines/>
      <w:keepNext/>
      <w:spacing w:before="480" w:after="200"/>
      <w:outlineLvl w:val="0"/>
    </w:pPr>
    <w:rPr>
      <w:rFonts w:ascii="Arial" w:hAnsi="Arial" w:eastAsia="Arial" w:cs="Arial"/>
      <w:sz w:val="40"/>
      <w:szCs w:val="40"/>
    </w:rPr>
  </w:style>
  <w:style w:type="paragraph" w:styleId="933">
    <w:name w:val="Heading 2"/>
    <w:basedOn w:val="931"/>
    <w:next w:val="931"/>
    <w:link w:val="967"/>
    <w:uiPriority w:val="9"/>
    <w:unhideWhenUsed/>
    <w:qFormat/>
    <w:pPr>
      <w:keepLines/>
      <w:keepNext/>
      <w:spacing w:before="360" w:after="200"/>
      <w:outlineLvl w:val="1"/>
    </w:pPr>
    <w:rPr>
      <w:rFonts w:ascii="Arial" w:hAnsi="Arial" w:eastAsia="Arial" w:cs="Arial"/>
      <w:sz w:val="34"/>
    </w:rPr>
  </w:style>
  <w:style w:type="paragraph" w:styleId="934">
    <w:name w:val="Heading 3"/>
    <w:basedOn w:val="931"/>
    <w:next w:val="931"/>
    <w:link w:val="968"/>
    <w:uiPriority w:val="9"/>
    <w:unhideWhenUsed/>
    <w:qFormat/>
    <w:pPr>
      <w:keepLines/>
      <w:keepNext/>
      <w:spacing w:before="320" w:after="200"/>
      <w:outlineLvl w:val="2"/>
    </w:pPr>
    <w:rPr>
      <w:rFonts w:ascii="Arial" w:hAnsi="Arial" w:eastAsia="Arial" w:cs="Arial"/>
      <w:sz w:val="30"/>
      <w:szCs w:val="30"/>
    </w:rPr>
  </w:style>
  <w:style w:type="paragraph" w:styleId="935">
    <w:name w:val="Heading 4"/>
    <w:basedOn w:val="931"/>
    <w:next w:val="931"/>
    <w:link w:val="969"/>
    <w:uiPriority w:val="9"/>
    <w:unhideWhenUsed/>
    <w:qFormat/>
    <w:pPr>
      <w:keepLines/>
      <w:keepNext/>
      <w:spacing w:before="320" w:after="200"/>
      <w:outlineLvl w:val="3"/>
    </w:pPr>
    <w:rPr>
      <w:rFonts w:ascii="Arial" w:hAnsi="Arial" w:eastAsia="Arial" w:cs="Arial"/>
      <w:b/>
      <w:bCs/>
      <w:sz w:val="26"/>
      <w:szCs w:val="26"/>
    </w:rPr>
  </w:style>
  <w:style w:type="paragraph" w:styleId="936">
    <w:name w:val="Heading 5"/>
    <w:basedOn w:val="931"/>
    <w:next w:val="931"/>
    <w:link w:val="970"/>
    <w:uiPriority w:val="9"/>
    <w:unhideWhenUsed/>
    <w:qFormat/>
    <w:pPr>
      <w:keepLines/>
      <w:keepNext/>
      <w:spacing w:before="320" w:after="200"/>
      <w:outlineLvl w:val="4"/>
    </w:pPr>
    <w:rPr>
      <w:rFonts w:ascii="Arial" w:hAnsi="Arial" w:eastAsia="Arial" w:cs="Arial"/>
      <w:b/>
      <w:bCs/>
      <w:sz w:val="24"/>
      <w:szCs w:val="24"/>
    </w:rPr>
  </w:style>
  <w:style w:type="paragraph" w:styleId="937">
    <w:name w:val="Heading 6"/>
    <w:basedOn w:val="931"/>
    <w:next w:val="931"/>
    <w:link w:val="971"/>
    <w:uiPriority w:val="9"/>
    <w:unhideWhenUsed/>
    <w:qFormat/>
    <w:pPr>
      <w:keepLines/>
      <w:keepNext/>
      <w:spacing w:before="320" w:after="200"/>
      <w:outlineLvl w:val="5"/>
    </w:pPr>
    <w:rPr>
      <w:rFonts w:ascii="Arial" w:hAnsi="Arial" w:eastAsia="Arial" w:cs="Arial"/>
      <w:b/>
      <w:bCs/>
      <w:sz w:val="22"/>
      <w:szCs w:val="22"/>
    </w:rPr>
  </w:style>
  <w:style w:type="paragraph" w:styleId="938">
    <w:name w:val="Heading 7"/>
    <w:basedOn w:val="931"/>
    <w:next w:val="931"/>
    <w:link w:val="972"/>
    <w:uiPriority w:val="9"/>
    <w:unhideWhenUsed/>
    <w:qFormat/>
    <w:pPr>
      <w:keepLines/>
      <w:keepNext/>
      <w:spacing w:before="320" w:after="200"/>
      <w:outlineLvl w:val="6"/>
    </w:pPr>
    <w:rPr>
      <w:rFonts w:ascii="Arial" w:hAnsi="Arial" w:eastAsia="Arial" w:cs="Arial"/>
      <w:b/>
      <w:bCs/>
      <w:i/>
      <w:iCs/>
      <w:sz w:val="22"/>
      <w:szCs w:val="22"/>
    </w:rPr>
  </w:style>
  <w:style w:type="paragraph" w:styleId="939">
    <w:name w:val="Heading 8"/>
    <w:basedOn w:val="931"/>
    <w:next w:val="931"/>
    <w:link w:val="973"/>
    <w:uiPriority w:val="9"/>
    <w:unhideWhenUsed/>
    <w:qFormat/>
    <w:pPr>
      <w:keepLines/>
      <w:keepNext/>
      <w:spacing w:before="320" w:after="200"/>
      <w:outlineLvl w:val="7"/>
    </w:pPr>
    <w:rPr>
      <w:rFonts w:ascii="Arial" w:hAnsi="Arial" w:eastAsia="Arial" w:cs="Arial"/>
      <w:i/>
      <w:iCs/>
      <w:sz w:val="22"/>
      <w:szCs w:val="22"/>
    </w:rPr>
  </w:style>
  <w:style w:type="paragraph" w:styleId="940">
    <w:name w:val="Heading 9"/>
    <w:basedOn w:val="931"/>
    <w:next w:val="931"/>
    <w:link w:val="974"/>
    <w:uiPriority w:val="9"/>
    <w:unhideWhenUsed/>
    <w:qFormat/>
    <w:pPr>
      <w:keepLines/>
      <w:keepNext/>
      <w:spacing w:before="320" w:after="200"/>
      <w:outlineLvl w:val="8"/>
    </w:pPr>
    <w:rPr>
      <w:rFonts w:ascii="Arial" w:hAnsi="Arial" w:eastAsia="Arial" w:cs="Arial"/>
      <w:i/>
      <w:iCs/>
      <w:sz w:val="21"/>
      <w:szCs w:val="21"/>
    </w:rPr>
  </w:style>
  <w:style w:type="character" w:styleId="941" w:default="1">
    <w:name w:val="Default Paragraph Font"/>
    <w:uiPriority w:val="1"/>
    <w:semiHidden/>
    <w:unhideWhenUsed/>
    <w:qFormat/>
  </w:style>
  <w:style w:type="table" w:styleId="942" w:default="1">
    <w:name w:val="Normal Table"/>
    <w:uiPriority w:val="99"/>
    <w:semiHidden/>
    <w:unhideWhenUsed/>
    <w:qFormat/>
    <w:tblPr>
      <w:tblCellMar>
        <w:left w:w="108" w:type="dxa"/>
        <w:top w:w="0" w:type="dxa"/>
        <w:right w:w="108" w:type="dxa"/>
        <w:bottom w:w="0" w:type="dxa"/>
      </w:tblCellMar>
    </w:tblPr>
  </w:style>
  <w:style w:type="paragraph" w:styleId="943" w:customStyle="1">
    <w:name w:val="标题 211"/>
    <w:basedOn w:val="931"/>
    <w:next w:val="931"/>
    <w:link w:val="1126"/>
    <w:uiPriority w:val="0"/>
    <w:qFormat/>
    <w:pPr>
      <w:jc w:val="center"/>
      <w:keepLines/>
      <w:keepNext/>
      <w:spacing w:before="260" w:after="260" w:line="416" w:lineRule="auto"/>
      <w:outlineLvl w:val="1"/>
    </w:pPr>
    <w:rPr>
      <w:rFonts w:ascii="宋体" w:hAnsi="宋体" w:eastAsia="楷体_GB2312" w:cs="宋体"/>
      <w:b/>
      <w:bCs/>
      <w:sz w:val="26"/>
      <w:szCs w:val="26"/>
    </w:rPr>
  </w:style>
  <w:style w:type="paragraph" w:styleId="944">
    <w:name w:val="toc 7"/>
    <w:basedOn w:val="931"/>
    <w:next w:val="931"/>
    <w:uiPriority w:val="0"/>
    <w:semiHidden/>
    <w:qFormat/>
    <w:pPr>
      <w:ind w:left="1260"/>
      <w:jc w:val="left"/>
    </w:pPr>
    <w:rPr>
      <w:rFonts w:ascii="Times New Roman" w:hAnsi="Times New Roman" w:eastAsia="宋体" w:cs="Times New Roman"/>
      <w:szCs w:val="21"/>
    </w:rPr>
  </w:style>
  <w:style w:type="paragraph" w:styleId="945">
    <w:name w:val="Caption"/>
    <w:basedOn w:val="931"/>
    <w:next w:val="931"/>
    <w:uiPriority w:val="35"/>
    <w:semiHidden/>
    <w:unhideWhenUsed/>
    <w:qFormat/>
    <w:pPr>
      <w:spacing w:line="276" w:lineRule="auto"/>
    </w:pPr>
    <w:rPr>
      <w:b/>
      <w:bCs/>
      <w:color w:val="4f81bd" w:themeColor="accent1"/>
      <w:sz w:val="18"/>
      <w:szCs w:val="18"/>
    </w:rPr>
  </w:style>
  <w:style w:type="paragraph" w:styleId="946">
    <w:name w:val="toc 5"/>
    <w:basedOn w:val="931"/>
    <w:next w:val="931"/>
    <w:uiPriority w:val="0"/>
    <w:semiHidden/>
    <w:qFormat/>
    <w:pPr>
      <w:ind w:left="840"/>
      <w:jc w:val="left"/>
    </w:pPr>
    <w:rPr>
      <w:rFonts w:ascii="Times New Roman" w:hAnsi="Times New Roman" w:eastAsia="宋体" w:cs="Times New Roman"/>
      <w:szCs w:val="21"/>
    </w:rPr>
  </w:style>
  <w:style w:type="paragraph" w:styleId="947">
    <w:name w:val="toc 3"/>
    <w:basedOn w:val="931"/>
    <w:next w:val="931"/>
    <w:uiPriority w:val="39"/>
    <w:qFormat/>
    <w:pPr>
      <w:ind w:left="420"/>
      <w:jc w:val="left"/>
    </w:pPr>
    <w:rPr>
      <w:rFonts w:ascii="Times New Roman" w:hAnsi="Times New Roman" w:eastAsia="宋体" w:cs="Times New Roman"/>
      <w:i/>
      <w:iCs/>
      <w:szCs w:val="24"/>
    </w:rPr>
  </w:style>
  <w:style w:type="paragraph" w:styleId="948">
    <w:name w:val="toc 8"/>
    <w:basedOn w:val="931"/>
    <w:next w:val="931"/>
    <w:uiPriority w:val="0"/>
    <w:semiHidden/>
    <w:qFormat/>
    <w:pPr>
      <w:ind w:left="1470"/>
      <w:jc w:val="left"/>
    </w:pPr>
    <w:rPr>
      <w:rFonts w:ascii="Times New Roman" w:hAnsi="Times New Roman" w:eastAsia="宋体" w:cs="Times New Roman"/>
      <w:szCs w:val="21"/>
    </w:rPr>
  </w:style>
  <w:style w:type="paragraph" w:styleId="949">
    <w:name w:val="endnote text"/>
    <w:basedOn w:val="931"/>
    <w:link w:val="1112"/>
    <w:uiPriority w:val="99"/>
    <w:semiHidden/>
    <w:unhideWhenUsed/>
    <w:qFormat/>
    <w:pPr>
      <w:spacing w:after="0" w:line="240" w:lineRule="auto"/>
    </w:pPr>
    <w:rPr>
      <w:sz w:val="20"/>
    </w:rPr>
  </w:style>
  <w:style w:type="paragraph" w:styleId="950">
    <w:name w:val="Footer"/>
    <w:basedOn w:val="931"/>
    <w:link w:val="985"/>
    <w:uiPriority w:val="99"/>
    <w:unhideWhenUsed/>
    <w:qFormat/>
    <w:pPr>
      <w:spacing w:after="0" w:line="240" w:lineRule="auto"/>
      <w:tabs>
        <w:tab w:val="center" w:pos="7143" w:leader="none"/>
        <w:tab w:val="right" w:pos="14287" w:leader="none"/>
      </w:tabs>
    </w:pPr>
  </w:style>
  <w:style w:type="paragraph" w:styleId="951">
    <w:name w:val="Header"/>
    <w:basedOn w:val="931"/>
    <w:link w:val="983"/>
    <w:uiPriority w:val="99"/>
    <w:unhideWhenUsed/>
    <w:qFormat/>
    <w:pPr>
      <w:spacing w:after="0" w:line="240" w:lineRule="auto"/>
      <w:tabs>
        <w:tab w:val="center" w:pos="7143" w:leader="none"/>
        <w:tab w:val="right" w:pos="14287" w:leader="none"/>
      </w:tabs>
    </w:pPr>
  </w:style>
  <w:style w:type="paragraph" w:styleId="952">
    <w:name w:val="toc 1"/>
    <w:basedOn w:val="931"/>
    <w:next w:val="931"/>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3">
    <w:name w:val="toc 4"/>
    <w:basedOn w:val="931"/>
    <w:next w:val="931"/>
    <w:uiPriority w:val="0"/>
    <w:semiHidden/>
    <w:qFormat/>
    <w:pPr>
      <w:ind w:left="630"/>
      <w:jc w:val="left"/>
    </w:pPr>
    <w:rPr>
      <w:rFonts w:ascii="Times New Roman" w:hAnsi="Times New Roman" w:eastAsia="宋体" w:cs="Times New Roman"/>
      <w:szCs w:val="21"/>
    </w:rPr>
  </w:style>
  <w:style w:type="paragraph" w:styleId="954">
    <w:name w:val="Subtitle"/>
    <w:basedOn w:val="931"/>
    <w:next w:val="931"/>
    <w:link w:val="978"/>
    <w:uiPriority w:val="11"/>
    <w:qFormat/>
    <w:pPr>
      <w:spacing w:before="200" w:after="200"/>
    </w:pPr>
    <w:rPr>
      <w:sz w:val="24"/>
      <w:szCs w:val="24"/>
    </w:rPr>
  </w:style>
  <w:style w:type="paragraph" w:styleId="955">
    <w:name w:val="footnote text"/>
    <w:basedOn w:val="931"/>
    <w:link w:val="1111"/>
    <w:uiPriority w:val="99"/>
    <w:semiHidden/>
    <w:unhideWhenUsed/>
    <w:qFormat/>
    <w:pPr>
      <w:spacing w:after="40" w:line="240" w:lineRule="auto"/>
    </w:pPr>
    <w:rPr>
      <w:sz w:val="18"/>
    </w:rPr>
  </w:style>
  <w:style w:type="paragraph" w:styleId="956">
    <w:name w:val="toc 6"/>
    <w:basedOn w:val="931"/>
    <w:next w:val="931"/>
    <w:uiPriority w:val="0"/>
    <w:semiHidden/>
    <w:qFormat/>
    <w:pPr>
      <w:ind w:left="1050"/>
      <w:jc w:val="left"/>
    </w:pPr>
    <w:rPr>
      <w:rFonts w:ascii="Times New Roman" w:hAnsi="Times New Roman" w:eastAsia="宋体" w:cs="Times New Roman"/>
      <w:szCs w:val="21"/>
    </w:rPr>
  </w:style>
  <w:style w:type="paragraph" w:styleId="957">
    <w:name w:val="table of figures"/>
    <w:basedOn w:val="931"/>
    <w:next w:val="931"/>
    <w:uiPriority w:val="99"/>
    <w:unhideWhenUsed/>
    <w:qFormat/>
    <w:pPr>
      <w:spacing w:after="0" w:afterAutospacing="0"/>
    </w:pPr>
  </w:style>
  <w:style w:type="paragraph" w:styleId="958">
    <w:name w:val="toc 2"/>
    <w:basedOn w:val="931"/>
    <w:next w:val="931"/>
    <w:uiPriority w:val="39"/>
    <w:qFormat/>
    <w:pPr>
      <w:ind w:left="210"/>
      <w:jc w:val="left"/>
    </w:pPr>
    <w:rPr>
      <w:rFonts w:ascii="Times New Roman" w:hAnsi="Times New Roman" w:eastAsia="宋体" w:cs="Times New Roman"/>
      <w:smallCaps/>
      <w:szCs w:val="24"/>
    </w:rPr>
  </w:style>
  <w:style w:type="paragraph" w:styleId="959">
    <w:name w:val="toc 9"/>
    <w:basedOn w:val="931"/>
    <w:next w:val="931"/>
    <w:uiPriority w:val="0"/>
    <w:semiHidden/>
    <w:qFormat/>
    <w:pPr>
      <w:ind w:left="1680"/>
      <w:jc w:val="left"/>
    </w:pPr>
    <w:rPr>
      <w:rFonts w:ascii="Times New Roman" w:hAnsi="Times New Roman" w:eastAsia="宋体" w:cs="Times New Roman"/>
      <w:szCs w:val="21"/>
    </w:rPr>
  </w:style>
  <w:style w:type="paragraph" w:styleId="960">
    <w:name w:val="Title"/>
    <w:basedOn w:val="931"/>
    <w:next w:val="931"/>
    <w:link w:val="977"/>
    <w:uiPriority w:val="10"/>
    <w:qFormat/>
    <w:pPr>
      <w:contextualSpacing/>
      <w:spacing w:before="300" w:after="200"/>
    </w:pPr>
    <w:rPr>
      <w:sz w:val="48"/>
      <w:szCs w:val="48"/>
    </w:rPr>
  </w:style>
  <w:style w:type="table" w:styleId="9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2">
    <w:name w:val="endnote reference"/>
    <w:uiPriority w:val="99"/>
    <w:semiHidden/>
    <w:unhideWhenUsed/>
    <w:qFormat/>
    <w:rPr>
      <w:vertAlign w:val="superscript"/>
    </w:rPr>
  </w:style>
  <w:style w:type="character" w:styleId="963">
    <w:name w:val="Hyperlink"/>
    <w:uiPriority w:val="99"/>
    <w:unhideWhenUsed/>
    <w:qFormat/>
    <w:rPr>
      <w:color w:val="0000ff" w:themeColor="hyperlink"/>
      <w:u w:val="single"/>
    </w:rPr>
  </w:style>
  <w:style w:type="character" w:styleId="964">
    <w:name w:val="footnote reference"/>
    <w:uiPriority w:val="99"/>
    <w:unhideWhenUsed/>
    <w:qFormat/>
    <w:rPr>
      <w:vertAlign w:val="superscript"/>
    </w:rPr>
  </w:style>
  <w:style w:type="paragraph" w:styleId="965" w:customStyle="1">
    <w:name w:val="标题 21"/>
    <w:basedOn w:val="931"/>
    <w:next w:val="931"/>
    <w:uiPriority w:val="0"/>
    <w:qFormat/>
    <w:pPr>
      <w:jc w:val="center"/>
      <w:keepLines/>
      <w:keepNext/>
      <w:spacing w:before="260" w:after="260" w:line="416" w:lineRule="auto"/>
      <w:outlineLvl w:val="1"/>
    </w:pPr>
    <w:rPr>
      <w:rFonts w:ascii="Arial" w:hAnsi="Arial" w:eastAsia="幼圆"/>
      <w:b/>
      <w:sz w:val="44"/>
      <w:szCs w:val="20"/>
    </w:rPr>
  </w:style>
  <w:style w:type="character" w:styleId="966" w:customStyle="1">
    <w:name w:val="Heading 1 Char"/>
    <w:link w:val="932"/>
    <w:uiPriority w:val="9"/>
    <w:qFormat/>
    <w:rPr>
      <w:rFonts w:ascii="Arial" w:hAnsi="Arial" w:eastAsia="Arial" w:cs="Arial"/>
      <w:sz w:val="40"/>
      <w:szCs w:val="40"/>
    </w:rPr>
  </w:style>
  <w:style w:type="character" w:styleId="967" w:customStyle="1">
    <w:name w:val="Heading 2 Char"/>
    <w:link w:val="933"/>
    <w:uiPriority w:val="9"/>
    <w:qFormat/>
    <w:rPr>
      <w:rFonts w:ascii="Arial" w:hAnsi="Arial" w:eastAsia="Arial" w:cs="Arial"/>
      <w:sz w:val="34"/>
    </w:rPr>
  </w:style>
  <w:style w:type="character" w:styleId="968" w:customStyle="1">
    <w:name w:val="Heading 3 Char"/>
    <w:link w:val="934"/>
    <w:uiPriority w:val="9"/>
    <w:qFormat/>
    <w:rPr>
      <w:rFonts w:ascii="Arial" w:hAnsi="Arial" w:eastAsia="Arial" w:cs="Arial"/>
      <w:sz w:val="30"/>
      <w:szCs w:val="30"/>
    </w:rPr>
  </w:style>
  <w:style w:type="character" w:styleId="969" w:customStyle="1">
    <w:name w:val="Heading 4 Char"/>
    <w:link w:val="935"/>
    <w:uiPriority w:val="9"/>
    <w:qFormat/>
    <w:rPr>
      <w:rFonts w:ascii="Arial" w:hAnsi="Arial" w:eastAsia="Arial" w:cs="Arial"/>
      <w:b/>
      <w:bCs/>
      <w:sz w:val="26"/>
      <w:szCs w:val="26"/>
    </w:rPr>
  </w:style>
  <w:style w:type="character" w:styleId="970" w:customStyle="1">
    <w:name w:val="Heading 5 Char"/>
    <w:link w:val="936"/>
    <w:uiPriority w:val="9"/>
    <w:qFormat/>
    <w:rPr>
      <w:rFonts w:ascii="Arial" w:hAnsi="Arial" w:eastAsia="Arial" w:cs="Arial"/>
      <w:b/>
      <w:bCs/>
      <w:sz w:val="24"/>
      <w:szCs w:val="24"/>
    </w:rPr>
  </w:style>
  <w:style w:type="character" w:styleId="971" w:customStyle="1">
    <w:name w:val="Heading 6 Char"/>
    <w:link w:val="937"/>
    <w:uiPriority w:val="9"/>
    <w:qFormat/>
    <w:rPr>
      <w:rFonts w:ascii="Arial" w:hAnsi="Arial" w:eastAsia="Arial" w:cs="Arial"/>
      <w:b/>
      <w:bCs/>
      <w:sz w:val="22"/>
      <w:szCs w:val="22"/>
    </w:rPr>
  </w:style>
  <w:style w:type="character" w:styleId="972" w:customStyle="1">
    <w:name w:val="Heading 7 Char"/>
    <w:link w:val="938"/>
    <w:uiPriority w:val="9"/>
    <w:qFormat/>
    <w:rPr>
      <w:rFonts w:ascii="Arial" w:hAnsi="Arial" w:eastAsia="Arial" w:cs="Arial"/>
      <w:b/>
      <w:bCs/>
      <w:i/>
      <w:iCs/>
      <w:sz w:val="22"/>
      <w:szCs w:val="22"/>
    </w:rPr>
  </w:style>
  <w:style w:type="character" w:styleId="973" w:customStyle="1">
    <w:name w:val="Heading 8 Char"/>
    <w:link w:val="939"/>
    <w:uiPriority w:val="9"/>
    <w:qFormat/>
    <w:rPr>
      <w:rFonts w:ascii="Arial" w:hAnsi="Arial" w:eastAsia="Arial" w:cs="Arial"/>
      <w:i/>
      <w:iCs/>
      <w:sz w:val="22"/>
      <w:szCs w:val="22"/>
    </w:rPr>
  </w:style>
  <w:style w:type="character" w:styleId="974" w:customStyle="1">
    <w:name w:val="Heading 9 Char"/>
    <w:link w:val="940"/>
    <w:uiPriority w:val="9"/>
    <w:qFormat/>
    <w:rPr>
      <w:rFonts w:ascii="Arial" w:hAnsi="Arial" w:eastAsia="Arial" w:cs="Arial"/>
      <w:i/>
      <w:iCs/>
      <w:sz w:val="21"/>
      <w:szCs w:val="21"/>
    </w:rPr>
  </w:style>
  <w:style w:type="paragraph" w:styleId="975">
    <w:name w:val="List Paragraph"/>
    <w:basedOn w:val="931"/>
    <w:uiPriority w:val="34"/>
    <w:qFormat/>
    <w:pPr>
      <w:contextualSpacing/>
      <w:ind w:left="720"/>
    </w:pPr>
  </w:style>
  <w:style w:type="paragraph" w:styleId="976">
    <w:name w:val="No Spacing"/>
    <w:uiPriority w:val="1"/>
    <w:qFormat/>
    <w:pPr>
      <w:spacing w:before="0" w:after="0" w:line="240" w:lineRule="auto"/>
    </w:pPr>
    <w:rPr>
      <w:rFonts w:hint="default" w:ascii="Calibri" w:hAnsi="Calibri" w:eastAsia="宋体" w:cs="Times New Roman"/>
    </w:rPr>
  </w:style>
  <w:style w:type="character" w:styleId="977" w:customStyle="1">
    <w:name w:val="Title Char"/>
    <w:link w:val="960"/>
    <w:uiPriority w:val="10"/>
    <w:qFormat/>
    <w:rPr>
      <w:sz w:val="48"/>
      <w:szCs w:val="48"/>
    </w:rPr>
  </w:style>
  <w:style w:type="character" w:styleId="978" w:customStyle="1">
    <w:name w:val="Subtitle Char"/>
    <w:link w:val="954"/>
    <w:uiPriority w:val="11"/>
    <w:qFormat/>
    <w:rPr>
      <w:sz w:val="24"/>
      <w:szCs w:val="24"/>
    </w:rPr>
  </w:style>
  <w:style w:type="paragraph" w:styleId="979">
    <w:name w:val="Quote"/>
    <w:basedOn w:val="931"/>
    <w:next w:val="931"/>
    <w:link w:val="980"/>
    <w:uiPriority w:val="29"/>
    <w:qFormat/>
    <w:pPr>
      <w:ind w:left="720" w:right="720"/>
    </w:pPr>
    <w:rPr>
      <w:i/>
    </w:rPr>
  </w:style>
  <w:style w:type="character" w:styleId="980" w:customStyle="1">
    <w:name w:val="Quote Char"/>
    <w:link w:val="979"/>
    <w:uiPriority w:val="29"/>
    <w:qFormat/>
    <w:rPr>
      <w:i/>
    </w:rPr>
  </w:style>
  <w:style w:type="paragraph" w:styleId="981">
    <w:name w:val="Intense Quote"/>
    <w:basedOn w:val="931"/>
    <w:next w:val="931"/>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customStyle="1">
    <w:name w:val="Intense Quote Char"/>
    <w:link w:val="981"/>
    <w:uiPriority w:val="30"/>
    <w:qFormat/>
    <w:rPr>
      <w:i/>
    </w:rPr>
  </w:style>
  <w:style w:type="character" w:styleId="983" w:customStyle="1">
    <w:name w:val="Header Char"/>
    <w:link w:val="951"/>
    <w:uiPriority w:val="99"/>
    <w:qFormat/>
  </w:style>
  <w:style w:type="character" w:styleId="984" w:customStyle="1">
    <w:name w:val="Footer Char"/>
    <w:link w:val="950"/>
    <w:uiPriority w:val="99"/>
    <w:qFormat/>
  </w:style>
  <w:style w:type="character" w:styleId="985" w:customStyle="1">
    <w:name w:val="Caption Char"/>
    <w:link w:val="950"/>
    <w:uiPriority w:val="99"/>
    <w:qFormat/>
  </w:style>
  <w:style w:type="table" w:styleId="9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0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0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0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0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0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0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1" w:customStyle="1">
    <w:name w:val="Footnote Text Char"/>
    <w:link w:val="955"/>
    <w:uiPriority w:val="99"/>
    <w:qFormat/>
    <w:rPr>
      <w:sz w:val="18"/>
    </w:rPr>
  </w:style>
  <w:style w:type="character" w:styleId="1112" w:customStyle="1">
    <w:name w:val="Endnote Text Char"/>
    <w:link w:val="949"/>
    <w:uiPriority w:val="99"/>
    <w:qFormat/>
    <w:rPr>
      <w:sz w:val="20"/>
    </w:rPr>
  </w:style>
  <w:style w:type="paragraph" w:styleId="1113" w:customStyle="1">
    <w:name w:val="TOC Heading"/>
    <w:uiPriority w:val="39"/>
    <w:unhideWhenUsed/>
    <w:qFormat/>
    <w:rPr>
      <w:rFonts w:hint="default" w:ascii="Calibri" w:hAnsi="Calibri" w:eastAsia="宋体" w:cs="Times New Roman"/>
    </w:rPr>
  </w:style>
  <w:style w:type="paragraph" w:styleId="1114" w:customStyle="1">
    <w:name w:val="标题 111"/>
    <w:basedOn w:val="931"/>
    <w:next w:val="931"/>
    <w:link w:val="1125"/>
    <w:uiPriority w:val="0"/>
    <w:qFormat/>
    <w:pPr>
      <w:jc w:val="center"/>
      <w:keepNext/>
      <w:outlineLvl w:val="0"/>
    </w:pPr>
    <w:rPr>
      <w:rFonts w:ascii="楷体_GB2312" w:hAnsi="Times New Roman" w:eastAsia="楷体_GB2312" w:cs="Times New Roman"/>
      <w:sz w:val="28"/>
      <w:szCs w:val="28"/>
    </w:rPr>
  </w:style>
  <w:style w:type="paragraph" w:styleId="1115" w:customStyle="1">
    <w:name w:val="标题 31"/>
    <w:basedOn w:val="931"/>
    <w:next w:val="1116"/>
    <w:link w:val="112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116" w:customStyle="1">
    <w:name w:val="正文缩进1"/>
    <w:basedOn w:val="931"/>
    <w:link w:val="1127"/>
    <w:uiPriority w:val="0"/>
    <w:qFormat/>
    <w:pPr>
      <w:ind w:firstLine="420"/>
    </w:pPr>
    <w:rPr>
      <w:szCs w:val="21"/>
    </w:rPr>
  </w:style>
  <w:style w:type="paragraph" w:styleId="1117" w:customStyle="1">
    <w:name w:val="标题 41"/>
    <w:basedOn w:val="931"/>
    <w:next w:val="1116"/>
    <w:link w:val="1129"/>
    <w:uiPriority w:val="0"/>
    <w:qFormat/>
    <w:pPr>
      <w:keepLines/>
      <w:keepNext/>
      <w:spacing w:before="280" w:after="290" w:line="376" w:lineRule="auto"/>
      <w:outlineLvl w:val="3"/>
    </w:pPr>
    <w:rPr>
      <w:rFonts w:ascii="Arial" w:hAnsi="Arial" w:eastAsia="黑体" w:cs="Arial"/>
      <w:b/>
      <w:bCs/>
      <w:sz w:val="28"/>
      <w:szCs w:val="28"/>
    </w:rPr>
  </w:style>
  <w:style w:type="paragraph" w:styleId="1118" w:customStyle="1">
    <w:name w:val="标题 51"/>
    <w:basedOn w:val="931"/>
    <w:next w:val="1116"/>
    <w:link w:val="1130"/>
    <w:uiPriority w:val="0"/>
    <w:qFormat/>
    <w:pPr>
      <w:keepNext/>
      <w:outlineLvl w:val="4"/>
    </w:pPr>
    <w:rPr>
      <w:rFonts w:ascii="宋体" w:hAnsi="Times New Roman" w:eastAsia="宋体" w:cs="Times New Roman"/>
      <w:color w:val="000000"/>
      <w:sz w:val="28"/>
      <w:szCs w:val="28"/>
    </w:rPr>
  </w:style>
  <w:style w:type="paragraph" w:styleId="1119" w:customStyle="1">
    <w:name w:val="标题 61"/>
    <w:basedOn w:val="931"/>
    <w:next w:val="931"/>
    <w:link w:val="113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1120" w:customStyle="1">
    <w:name w:val="标题 71"/>
    <w:basedOn w:val="931"/>
    <w:next w:val="931"/>
    <w:link w:val="113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1121" w:customStyle="1">
    <w:name w:val="标题 81"/>
    <w:basedOn w:val="931"/>
    <w:next w:val="931"/>
    <w:link w:val="113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1122" w:customStyle="1">
    <w:name w:val="标题 91"/>
    <w:basedOn w:val="931"/>
    <w:next w:val="931"/>
    <w:link w:val="11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23" w:customStyle="1">
    <w:name w:val="默认段落字体1"/>
    <w:link w:val="931"/>
    <w:uiPriority w:val="1"/>
    <w:unhideWhenUsed/>
    <w:qFormat/>
  </w:style>
  <w:style w:type="table" w:styleId="1124" w:customStyle="1">
    <w:name w:val="普通表格1"/>
    <w:uiPriority w:val="99"/>
    <w:unhideWhenUsed/>
    <w:qFormat/>
    <w:tblPr/>
  </w:style>
  <w:style w:type="character" w:styleId="1125" w:customStyle="1">
    <w:name w:val="标题 1 字符"/>
    <w:link w:val="1114"/>
    <w:uiPriority w:val="0"/>
    <w:qFormat/>
    <w:rPr>
      <w:rFonts w:ascii="楷体_GB2312" w:hAnsi="Times New Roman" w:eastAsia="楷体_GB2312" w:cs="Times New Roman"/>
      <w:sz w:val="28"/>
      <w:szCs w:val="28"/>
    </w:rPr>
  </w:style>
  <w:style w:type="character" w:styleId="1126" w:customStyle="1">
    <w:name w:val="标题 2 字符"/>
    <w:link w:val="943"/>
    <w:uiPriority w:val="0"/>
    <w:qFormat/>
    <w:rPr>
      <w:rFonts w:ascii="Arial" w:hAnsi="Arial" w:eastAsia="幼圆" w:cs="Arial"/>
      <w:b/>
      <w:bCs/>
      <w:sz w:val="44"/>
      <w:szCs w:val="44"/>
    </w:rPr>
  </w:style>
  <w:style w:type="character" w:styleId="1127" w:customStyle="1">
    <w:name w:val="正文缩进 字符"/>
    <w:link w:val="1116"/>
    <w:uiPriority w:val="0"/>
    <w:qFormat/>
    <w:rPr>
      <w:szCs w:val="21"/>
    </w:rPr>
  </w:style>
  <w:style w:type="character" w:styleId="1128" w:customStyle="1">
    <w:name w:val="标题 3 字符"/>
    <w:link w:val="1115"/>
    <w:uiPriority w:val="0"/>
    <w:qFormat/>
    <w:rPr>
      <w:rFonts w:ascii="Times New Roman" w:hAnsi="Times New Roman" w:eastAsia="宋体" w:cs="Times New Roman"/>
      <w:b/>
      <w:bCs/>
      <w:sz w:val="32"/>
      <w:szCs w:val="32"/>
    </w:rPr>
  </w:style>
  <w:style w:type="character" w:styleId="1129" w:customStyle="1">
    <w:name w:val="标题 4 字符"/>
    <w:link w:val="1117"/>
    <w:uiPriority w:val="0"/>
    <w:qFormat/>
    <w:rPr>
      <w:rFonts w:ascii="Arial" w:hAnsi="Arial" w:eastAsia="黑体" w:cs="Arial"/>
      <w:b/>
      <w:bCs/>
      <w:sz w:val="28"/>
      <w:szCs w:val="28"/>
    </w:rPr>
  </w:style>
  <w:style w:type="character" w:styleId="1130" w:customStyle="1">
    <w:name w:val="标题 5 字符"/>
    <w:link w:val="1118"/>
    <w:uiPriority w:val="0"/>
    <w:qFormat/>
    <w:rPr>
      <w:rFonts w:ascii="宋体" w:hAnsi="Times New Roman" w:eastAsia="宋体" w:cs="Times New Roman"/>
      <w:color w:val="000000"/>
      <w:sz w:val="28"/>
      <w:szCs w:val="28"/>
    </w:rPr>
  </w:style>
  <w:style w:type="character" w:styleId="1131" w:customStyle="1">
    <w:name w:val="标题 6 字符"/>
    <w:link w:val="1119"/>
    <w:uiPriority w:val="0"/>
    <w:qFormat/>
    <w:rPr>
      <w:rFonts w:ascii="Arial" w:hAnsi="Arial" w:eastAsia="黑体" w:cs="Times New Roman"/>
      <w:b/>
      <w:bCs/>
      <w:sz w:val="24"/>
      <w:szCs w:val="24"/>
    </w:rPr>
  </w:style>
  <w:style w:type="character" w:styleId="1132" w:customStyle="1">
    <w:name w:val="标题 7 字符"/>
    <w:link w:val="1120"/>
    <w:uiPriority w:val="0"/>
    <w:qFormat/>
    <w:rPr>
      <w:rFonts w:ascii="Times New Roman" w:hAnsi="Times New Roman" w:eastAsia="宋体" w:cs="Times New Roman"/>
      <w:b/>
      <w:bCs/>
      <w:sz w:val="24"/>
      <w:szCs w:val="24"/>
    </w:rPr>
  </w:style>
  <w:style w:type="character" w:styleId="1133" w:customStyle="1">
    <w:name w:val="标题 8 字符"/>
    <w:link w:val="1121"/>
    <w:uiPriority w:val="0"/>
    <w:qFormat/>
    <w:rPr>
      <w:rFonts w:ascii="Arial" w:hAnsi="Arial" w:eastAsia="黑体" w:cs="Times New Roman"/>
      <w:sz w:val="24"/>
      <w:szCs w:val="24"/>
    </w:rPr>
  </w:style>
  <w:style w:type="character" w:styleId="1134" w:customStyle="1">
    <w:name w:val="标题 9 字符"/>
    <w:link w:val="1122"/>
    <w:uiPriority w:val="0"/>
    <w:qFormat/>
    <w:rPr>
      <w:rFonts w:ascii="Arial" w:hAnsi="Arial" w:eastAsia="黑体" w:cs="Times New Roman"/>
      <w:szCs w:val="21"/>
    </w:rPr>
  </w:style>
  <w:style w:type="paragraph" w:styleId="1135" w:customStyle="1">
    <w:name w:val="列表 31"/>
    <w:basedOn w:val="931"/>
    <w:uiPriority w:val="0"/>
    <w:qFormat/>
    <w:pPr>
      <w:ind w:left="100" w:hanging="200"/>
    </w:pPr>
    <w:rPr>
      <w:rFonts w:ascii="Times New Roman" w:hAnsi="Times New Roman" w:eastAsia="宋体" w:cs="Times New Roman"/>
      <w:szCs w:val="21"/>
    </w:rPr>
  </w:style>
  <w:style w:type="paragraph" w:styleId="1136" w:customStyle="1">
    <w:name w:val="文档结构图1"/>
    <w:basedOn w:val="931"/>
    <w:link w:val="1137"/>
    <w:uiPriority w:val="0"/>
    <w:semiHidden/>
    <w:qFormat/>
    <w:pPr>
      <w:shd w:val="clear" w:color="auto" w:fill="000080"/>
    </w:pPr>
    <w:rPr>
      <w:rFonts w:ascii="Times New Roman" w:hAnsi="Times New Roman" w:eastAsia="宋体" w:cs="Times New Roman"/>
      <w:szCs w:val="21"/>
    </w:rPr>
  </w:style>
  <w:style w:type="character" w:styleId="1137" w:customStyle="1">
    <w:name w:val="文档结构图 字符"/>
    <w:link w:val="1136"/>
    <w:uiPriority w:val="0"/>
    <w:semiHidden/>
    <w:qFormat/>
    <w:rPr>
      <w:rFonts w:ascii="Times New Roman" w:hAnsi="Times New Roman" w:eastAsia="宋体" w:cs="Times New Roman"/>
      <w:szCs w:val="21"/>
      <w:shd w:val="clear" w:color="auto" w:fill="000080"/>
    </w:rPr>
  </w:style>
  <w:style w:type="paragraph" w:styleId="1138" w:customStyle="1">
    <w:name w:val="批注文字1"/>
    <w:basedOn w:val="931"/>
    <w:link w:val="1139"/>
    <w:uiPriority w:val="0"/>
    <w:unhideWhenUsed/>
    <w:qFormat/>
    <w:pPr>
      <w:jc w:val="left"/>
    </w:pPr>
  </w:style>
  <w:style w:type="character" w:styleId="1139" w:customStyle="1">
    <w:name w:val="批注文字 字符"/>
    <w:link w:val="1138"/>
    <w:uiPriority w:val="99"/>
    <w:semiHidden/>
    <w:qFormat/>
  </w:style>
  <w:style w:type="paragraph" w:styleId="1140" w:customStyle="1">
    <w:name w:val="正文文本 31"/>
    <w:basedOn w:val="931"/>
    <w:link w:val="1141"/>
    <w:uiPriority w:val="0"/>
    <w:qFormat/>
    <w:rPr>
      <w:rFonts w:ascii="仿宋_GB2312" w:hAnsi="Arial" w:eastAsia="仿宋_GB2312" w:cs="Times New Roman"/>
      <w:sz w:val="32"/>
      <w:szCs w:val="32"/>
    </w:rPr>
  </w:style>
  <w:style w:type="character" w:styleId="1141" w:customStyle="1">
    <w:name w:val="正文文本 3 字符"/>
    <w:link w:val="1140"/>
    <w:uiPriority w:val="0"/>
    <w:qFormat/>
    <w:rPr>
      <w:rFonts w:ascii="仿宋_GB2312" w:hAnsi="Arial" w:eastAsia="仿宋_GB2312" w:cs="Times New Roman"/>
      <w:sz w:val="32"/>
      <w:szCs w:val="32"/>
    </w:rPr>
  </w:style>
  <w:style w:type="paragraph" w:styleId="1142" w:customStyle="1">
    <w:name w:val="正文文本11"/>
    <w:basedOn w:val="931"/>
    <w:link w:val="1143"/>
    <w:uiPriority w:val="0"/>
    <w:qFormat/>
    <w:rPr>
      <w:rFonts w:ascii="楷体_GB2312" w:hAnsi="Arial" w:eastAsia="楷体_GB2312" w:cs="Times New Roman"/>
      <w:sz w:val="28"/>
      <w:szCs w:val="28"/>
    </w:rPr>
  </w:style>
  <w:style w:type="character" w:styleId="1143" w:customStyle="1">
    <w:name w:val="正文文本 字符"/>
    <w:link w:val="1142"/>
    <w:uiPriority w:val="0"/>
    <w:qFormat/>
    <w:rPr>
      <w:rFonts w:ascii="楷体_GB2312" w:hAnsi="Arial" w:eastAsia="楷体_GB2312" w:cs="Times New Roman"/>
      <w:sz w:val="28"/>
      <w:szCs w:val="28"/>
    </w:rPr>
  </w:style>
  <w:style w:type="paragraph" w:styleId="1144" w:customStyle="1">
    <w:name w:val="正文文本缩进1"/>
    <w:basedOn w:val="931"/>
    <w:link w:val="1145"/>
    <w:uiPriority w:val="0"/>
    <w:unhideWhenUsed/>
    <w:qFormat/>
    <w:pPr>
      <w:ind w:left="420"/>
      <w:spacing w:after="120"/>
    </w:pPr>
  </w:style>
  <w:style w:type="character" w:styleId="1145" w:customStyle="1">
    <w:name w:val="正文文本缩进 字符"/>
    <w:link w:val="1144"/>
    <w:uiPriority w:val="0"/>
    <w:qFormat/>
  </w:style>
  <w:style w:type="paragraph" w:styleId="1146" w:customStyle="1">
    <w:name w:val="列表 21"/>
    <w:basedOn w:val="931"/>
    <w:uiPriority w:val="0"/>
    <w:qFormat/>
    <w:pPr>
      <w:ind w:left="100" w:hanging="200"/>
    </w:pPr>
    <w:rPr>
      <w:rFonts w:ascii="Times New Roman" w:hAnsi="Times New Roman" w:eastAsia="宋体" w:cs="Times New Roman"/>
      <w:szCs w:val="21"/>
    </w:rPr>
  </w:style>
  <w:style w:type="paragraph" w:styleId="1147" w:customStyle="1">
    <w:name w:val="纯文本1"/>
    <w:basedOn w:val="931"/>
    <w:link w:val="1148"/>
    <w:uiPriority w:val="0"/>
    <w:qFormat/>
    <w:rPr>
      <w:rFonts w:ascii="宋体" w:hAnsi="Courier New" w:eastAsia="宋体" w:cs="Courier New"/>
      <w:szCs w:val="21"/>
    </w:rPr>
  </w:style>
  <w:style w:type="character" w:styleId="1148" w:customStyle="1">
    <w:name w:val="纯文本 字符"/>
    <w:link w:val="1147"/>
    <w:uiPriority w:val="0"/>
    <w:qFormat/>
    <w:rPr>
      <w:rFonts w:ascii="宋体" w:hAnsi="Courier New" w:eastAsia="宋体" w:cs="Courier New"/>
      <w:szCs w:val="21"/>
    </w:rPr>
  </w:style>
  <w:style w:type="paragraph" w:styleId="1149" w:customStyle="1">
    <w:name w:val="日期1"/>
    <w:basedOn w:val="931"/>
    <w:next w:val="931"/>
    <w:link w:val="1150"/>
    <w:uiPriority w:val="0"/>
    <w:qFormat/>
    <w:rPr>
      <w:rFonts w:ascii="Times New Roman" w:hAnsi="Times New Roman" w:eastAsia="宋体" w:cs="Times New Roman"/>
      <w:sz w:val="24"/>
      <w:szCs w:val="24"/>
    </w:rPr>
  </w:style>
  <w:style w:type="character" w:styleId="1150" w:customStyle="1">
    <w:name w:val="日期 字符"/>
    <w:link w:val="1149"/>
    <w:uiPriority w:val="0"/>
    <w:qFormat/>
    <w:rPr>
      <w:rFonts w:ascii="Times New Roman" w:hAnsi="Times New Roman" w:eastAsia="宋体" w:cs="Times New Roman"/>
      <w:sz w:val="24"/>
      <w:szCs w:val="24"/>
    </w:rPr>
  </w:style>
  <w:style w:type="paragraph" w:styleId="1151" w:customStyle="1">
    <w:name w:val="正文文本缩进 21"/>
    <w:basedOn w:val="931"/>
    <w:link w:val="1152"/>
    <w:uiPriority w:val="0"/>
    <w:qFormat/>
    <w:pPr>
      <w:ind w:left="630" w:firstLine="645"/>
    </w:pPr>
    <w:rPr>
      <w:rFonts w:ascii="Arial" w:hAnsi="Arial" w:eastAsia="仿宋_GB2312" w:cs="Arial"/>
      <w:sz w:val="32"/>
      <w:szCs w:val="32"/>
    </w:rPr>
  </w:style>
  <w:style w:type="character" w:styleId="1152" w:customStyle="1">
    <w:name w:val="正文文本缩进 2 字符"/>
    <w:link w:val="1151"/>
    <w:uiPriority w:val="0"/>
    <w:qFormat/>
    <w:rPr>
      <w:rFonts w:ascii="Arial" w:hAnsi="Arial" w:eastAsia="仿宋_GB2312" w:cs="Arial"/>
      <w:sz w:val="32"/>
      <w:szCs w:val="32"/>
    </w:rPr>
  </w:style>
  <w:style w:type="paragraph" w:styleId="1153" w:customStyle="1">
    <w:name w:val="批注框文本1"/>
    <w:basedOn w:val="931"/>
    <w:link w:val="1154"/>
    <w:uiPriority w:val="0"/>
    <w:semiHidden/>
    <w:qFormat/>
    <w:rPr>
      <w:rFonts w:ascii="Times New Roman" w:hAnsi="Times New Roman" w:eastAsia="宋体" w:cs="Times New Roman"/>
      <w:sz w:val="18"/>
      <w:szCs w:val="18"/>
    </w:rPr>
  </w:style>
  <w:style w:type="character" w:styleId="1154" w:customStyle="1">
    <w:name w:val="批注框文本 字符"/>
    <w:link w:val="1153"/>
    <w:uiPriority w:val="0"/>
    <w:semiHidden/>
    <w:qFormat/>
    <w:rPr>
      <w:rFonts w:ascii="Times New Roman" w:hAnsi="Times New Roman" w:eastAsia="宋体" w:cs="Times New Roman"/>
      <w:sz w:val="18"/>
      <w:szCs w:val="18"/>
    </w:rPr>
  </w:style>
  <w:style w:type="paragraph" w:styleId="1155" w:customStyle="1">
    <w:name w:val="页脚1"/>
    <w:basedOn w:val="931"/>
    <w:link w:val="1156"/>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56" w:customStyle="1">
    <w:name w:val="页脚 字符"/>
    <w:link w:val="1155"/>
    <w:uiPriority w:val="99"/>
    <w:qFormat/>
    <w:rPr>
      <w:rFonts w:ascii="Times New Roman" w:hAnsi="Times New Roman" w:eastAsia="宋体" w:cs="Times New Roman"/>
      <w:sz w:val="18"/>
      <w:szCs w:val="18"/>
    </w:rPr>
  </w:style>
  <w:style w:type="paragraph" w:styleId="1157" w:customStyle="1">
    <w:name w:val="页眉1"/>
    <w:basedOn w:val="931"/>
    <w:link w:val="1158"/>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58" w:customStyle="1">
    <w:name w:val="页眉 字符"/>
    <w:link w:val="1157"/>
    <w:uiPriority w:val="0"/>
    <w:qFormat/>
    <w:rPr>
      <w:rFonts w:ascii="Times New Roman" w:hAnsi="Times New Roman" w:eastAsia="宋体" w:cs="Times New Roman"/>
      <w:sz w:val="18"/>
      <w:szCs w:val="18"/>
    </w:rPr>
  </w:style>
  <w:style w:type="paragraph" w:styleId="1159" w:customStyle="1">
    <w:name w:val="列表1"/>
    <w:basedOn w:val="931"/>
    <w:uiPriority w:val="0"/>
    <w:qFormat/>
    <w:pPr>
      <w:ind w:left="200" w:hanging="200"/>
    </w:pPr>
    <w:rPr>
      <w:rFonts w:ascii="Times New Roman" w:hAnsi="Times New Roman" w:eastAsia="宋体" w:cs="Times New Roman"/>
      <w:szCs w:val="21"/>
    </w:rPr>
  </w:style>
  <w:style w:type="paragraph" w:styleId="1160" w:customStyle="1">
    <w:name w:val="正文文本缩进 31"/>
    <w:basedOn w:val="931"/>
    <w:link w:val="1161"/>
    <w:uiPriority w:val="0"/>
    <w:qFormat/>
    <w:pPr>
      <w:ind w:left="645" w:firstLine="645"/>
    </w:pPr>
    <w:rPr>
      <w:rFonts w:ascii="Arial" w:hAnsi="Arial" w:eastAsia="仿宋_GB2312" w:cs="Arial"/>
      <w:color w:val="ffff00"/>
      <w:sz w:val="32"/>
      <w:szCs w:val="32"/>
    </w:rPr>
  </w:style>
  <w:style w:type="character" w:styleId="1161" w:customStyle="1">
    <w:name w:val="正文文本缩进 3 字符"/>
    <w:link w:val="1160"/>
    <w:uiPriority w:val="0"/>
    <w:qFormat/>
    <w:rPr>
      <w:rFonts w:ascii="Arial" w:hAnsi="Arial" w:eastAsia="仿宋_GB2312" w:cs="Arial"/>
      <w:color w:val="ffff00"/>
      <w:sz w:val="32"/>
      <w:szCs w:val="32"/>
    </w:rPr>
  </w:style>
  <w:style w:type="paragraph" w:styleId="1162" w:customStyle="1">
    <w:name w:val="图表目录1"/>
    <w:basedOn w:val="931"/>
    <w:next w:val="931"/>
    <w:uiPriority w:val="0"/>
    <w:semiHidden/>
    <w:qFormat/>
    <w:pPr>
      <w:ind w:left="840" w:hanging="420"/>
    </w:pPr>
    <w:rPr>
      <w:rFonts w:ascii="Times New Roman" w:hAnsi="Times New Roman" w:eastAsia="宋体" w:cs="Times New Roman"/>
      <w:szCs w:val="21"/>
    </w:rPr>
  </w:style>
  <w:style w:type="paragraph" w:styleId="1163" w:customStyle="1">
    <w:name w:val="正文文本 21"/>
    <w:basedOn w:val="931"/>
    <w:link w:val="1164"/>
    <w:uiPriority w:val="0"/>
    <w:qFormat/>
    <w:pPr>
      <w:jc w:val="center"/>
      <w:widowControl/>
    </w:pPr>
    <w:rPr>
      <w:rFonts w:ascii="楷体_GB2312" w:hAnsi="Times New Roman" w:eastAsia="楷体_GB2312" w:cs="Times New Roman"/>
      <w:sz w:val="28"/>
      <w:szCs w:val="28"/>
    </w:rPr>
  </w:style>
  <w:style w:type="character" w:styleId="1164" w:customStyle="1">
    <w:name w:val="正文文本 2 字符"/>
    <w:link w:val="1163"/>
    <w:uiPriority w:val="0"/>
    <w:qFormat/>
    <w:rPr>
      <w:rFonts w:ascii="楷体_GB2312" w:hAnsi="Times New Roman" w:eastAsia="楷体_GB2312" w:cs="Times New Roman"/>
      <w:sz w:val="28"/>
      <w:szCs w:val="28"/>
    </w:rPr>
  </w:style>
  <w:style w:type="paragraph" w:styleId="1165" w:customStyle="1">
    <w:name w:val="普通(网站)1"/>
    <w:basedOn w:val="931"/>
    <w:uiPriority w:val="99"/>
    <w:qFormat/>
    <w:pPr>
      <w:jc w:val="left"/>
      <w:spacing w:before="100" w:beforeAutospacing="1" w:after="100" w:afterAutospacing="1"/>
      <w:widowControl/>
    </w:pPr>
    <w:rPr>
      <w:rFonts w:ascii="宋体" w:hAnsi="宋体" w:eastAsia="宋体" w:cs="宋体"/>
      <w:sz w:val="24"/>
      <w:szCs w:val="24"/>
    </w:rPr>
  </w:style>
  <w:style w:type="paragraph" w:styleId="1166" w:customStyle="1">
    <w:name w:val="索引 11"/>
    <w:basedOn w:val="931"/>
    <w:next w:val="931"/>
    <w:uiPriority w:val="0"/>
    <w:semiHidden/>
    <w:qFormat/>
    <w:pPr>
      <w:spacing w:line="240" w:lineRule="atLeast"/>
    </w:pPr>
    <w:rPr>
      <w:rFonts w:ascii="Times New Roman" w:hAnsi="Times New Roman" w:eastAsia="宋体" w:cs="Times New Roman"/>
      <w:b/>
      <w:bCs/>
      <w:szCs w:val="21"/>
    </w:rPr>
  </w:style>
  <w:style w:type="paragraph" w:styleId="1167" w:customStyle="1">
    <w:name w:val="批注主题1"/>
    <w:basedOn w:val="1138"/>
    <w:next w:val="1138"/>
    <w:link w:val="1168"/>
    <w:uiPriority w:val="0"/>
    <w:semiHidden/>
    <w:qFormat/>
    <w:rPr>
      <w:rFonts w:ascii="Times New Roman" w:hAnsi="Times New Roman" w:eastAsia="宋体" w:cs="Times New Roman"/>
      <w:b/>
      <w:bCs/>
      <w:szCs w:val="21"/>
    </w:rPr>
  </w:style>
  <w:style w:type="character" w:styleId="1168" w:customStyle="1">
    <w:name w:val="批注主题 字符"/>
    <w:link w:val="1167"/>
    <w:uiPriority w:val="0"/>
    <w:semiHidden/>
    <w:qFormat/>
    <w:rPr>
      <w:rFonts w:ascii="Times New Roman" w:hAnsi="Times New Roman" w:eastAsia="宋体" w:cs="Times New Roman"/>
      <w:b/>
      <w:bCs/>
      <w:szCs w:val="21"/>
    </w:rPr>
  </w:style>
  <w:style w:type="paragraph" w:styleId="1169" w:customStyle="1">
    <w:name w:val="正文文本首行缩进"/>
    <w:basedOn w:val="931"/>
    <w:link w:val="1170"/>
    <w:uiPriority w:val="0"/>
    <w:qFormat/>
    <w:pPr>
      <w:ind w:firstLine="200"/>
      <w:spacing w:line="360" w:lineRule="auto"/>
    </w:pPr>
    <w:rPr>
      <w:rFonts w:ascii="仿宋_GB2312" w:hAnsi="Times New Roman" w:eastAsia="仿宋_GB2312" w:cs="Times New Roman"/>
      <w:sz w:val="30"/>
      <w:szCs w:val="30"/>
    </w:rPr>
  </w:style>
  <w:style w:type="character" w:styleId="1170" w:customStyle="1">
    <w:name w:val="正文文本首行缩进 字符"/>
    <w:link w:val="1169"/>
    <w:uiPriority w:val="0"/>
    <w:qFormat/>
    <w:rPr>
      <w:rFonts w:ascii="仿宋_GB2312" w:hAnsi="Times New Roman" w:eastAsia="仿宋_GB2312" w:cs="Times New Roman"/>
      <w:sz w:val="30"/>
      <w:szCs w:val="30"/>
    </w:rPr>
  </w:style>
  <w:style w:type="paragraph" w:styleId="1171" w:customStyle="1">
    <w:name w:val="正文文本首行缩进 2"/>
    <w:basedOn w:val="1144"/>
    <w:link w:val="1172"/>
    <w:uiPriority w:val="99"/>
    <w:qFormat/>
    <w:pPr>
      <w:ind w:left="0" w:firstLine="420"/>
      <w:spacing w:after="0" w:line="360" w:lineRule="auto"/>
    </w:pPr>
    <w:rPr>
      <w:rFonts w:ascii="宋体" w:hAnsi="宋体" w:eastAsia="宋体" w:cs="Times New Roman"/>
      <w:szCs w:val="20"/>
    </w:rPr>
  </w:style>
  <w:style w:type="character" w:styleId="1172" w:customStyle="1">
    <w:name w:val="正文文本首行缩进 2 字符"/>
    <w:link w:val="1171"/>
    <w:uiPriority w:val="99"/>
    <w:qFormat/>
    <w:rPr>
      <w:rFonts w:ascii="宋体" w:hAnsi="宋体" w:eastAsia="宋体" w:cs="Times New Roman"/>
      <w:szCs w:val="20"/>
    </w:rPr>
  </w:style>
  <w:style w:type="table" w:styleId="1173" w:customStyle="1">
    <w:name w:val="网格型11"/>
    <w:basedOn w:val="1124"/>
    <w:uiPriority w:val="0"/>
    <w:qFormat/>
    <w:pPr>
      <w:jc w:val="both"/>
      <w:widowControl w:val="off"/>
    </w:pPr>
    <w:rPr>
      <w:rFonts w:ascii="Times New Roman" w:hAnsi="Times New Roman" w:eastAsia="宋体" w:cs="Times New Roman"/>
      <w:sz w:val="20"/>
      <w:szCs w:val="20"/>
    </w:rPr>
    <w:tblPr/>
  </w:style>
  <w:style w:type="character" w:styleId="1174" w:customStyle="1">
    <w:name w:val="要点1"/>
    <w:link w:val="931"/>
    <w:uiPriority w:val="0"/>
    <w:qFormat/>
    <w:rPr>
      <w:b/>
      <w:bCs/>
    </w:rPr>
  </w:style>
  <w:style w:type="character" w:styleId="1175" w:customStyle="1">
    <w:name w:val="页码1"/>
    <w:link w:val="931"/>
    <w:uiPriority w:val="0"/>
    <w:qFormat/>
  </w:style>
  <w:style w:type="character" w:styleId="1176" w:customStyle="1">
    <w:name w:val="访问过的超链接"/>
    <w:link w:val="931"/>
    <w:uiPriority w:val="0"/>
    <w:qFormat/>
    <w:rPr>
      <w:color w:val="800080"/>
      <w:u w:val="single"/>
    </w:rPr>
  </w:style>
  <w:style w:type="character" w:styleId="1177" w:customStyle="1">
    <w:name w:val="超链接1"/>
    <w:link w:val="931"/>
    <w:uiPriority w:val="0"/>
    <w:qFormat/>
    <w:rPr>
      <w:color w:val="0000ff"/>
      <w:u w:val="single"/>
    </w:rPr>
  </w:style>
  <w:style w:type="character" w:styleId="1178" w:customStyle="1">
    <w:name w:val="批注引用1"/>
    <w:link w:val="931"/>
    <w:uiPriority w:val="0"/>
    <w:qFormat/>
    <w:rPr>
      <w:sz w:val="21"/>
      <w:szCs w:val="21"/>
    </w:rPr>
  </w:style>
  <w:style w:type="character" w:styleId="1179" w:customStyle="1">
    <w:name w:val="font5 Char"/>
    <w:link w:val="931"/>
    <w:uiPriority w:val="0"/>
    <w:qFormat/>
    <w:rPr>
      <w:rFonts w:ascii="宋体" w:hAnsi="宋体" w:eastAsia="宋体"/>
      <w:sz w:val="28"/>
      <w:szCs w:val="28"/>
      <w:lang w:val="en-US" w:eastAsia="zh-CN" w:bidi="ar-SA"/>
    </w:rPr>
  </w:style>
  <w:style w:type="character" w:styleId="1180" w:customStyle="1">
    <w:name w:val="二级目录 Char"/>
    <w:link w:val="1181"/>
    <w:uiPriority w:val="0"/>
    <w:qFormat/>
    <w:rPr>
      <w:b/>
      <w:sz w:val="30"/>
      <w:szCs w:val="28"/>
    </w:rPr>
  </w:style>
  <w:style w:type="paragraph" w:styleId="1181" w:customStyle="1">
    <w:name w:val="二级目录"/>
    <w:next w:val="931"/>
    <w:link w:val="1180"/>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82" w:customStyle="1">
    <w:name w:val="列出段落 Char"/>
    <w:link w:val="1183"/>
    <w:uiPriority w:val="0"/>
    <w:qFormat/>
    <w:rPr>
      <w:rFonts w:ascii="Calibri" w:hAnsi="Calibri"/>
      <w:sz w:val="24"/>
      <w:szCs w:val="24"/>
      <w:lang w:eastAsia="en-US" w:bidi="en-US"/>
    </w:rPr>
  </w:style>
  <w:style w:type="paragraph" w:styleId="1183" w:customStyle="1">
    <w:name w:val="列出段落1"/>
    <w:basedOn w:val="931"/>
    <w:link w:val="1182"/>
    <w:uiPriority w:val="0"/>
    <w:qFormat/>
    <w:pPr>
      <w:contextualSpacing/>
      <w:ind w:left="720"/>
      <w:jc w:val="left"/>
      <w:widowControl/>
    </w:pPr>
    <w:rPr>
      <w:rFonts w:ascii="Calibri" w:hAnsi="Calibri"/>
      <w:sz w:val="24"/>
      <w:szCs w:val="24"/>
      <w:lang w:eastAsia="en-US" w:bidi="en-US"/>
    </w:rPr>
  </w:style>
  <w:style w:type="paragraph" w:styleId="1184" w:customStyle="1">
    <w:name w:val="Body Text(ch)"/>
    <w:basedOn w:val="931"/>
    <w:next w:val="1142"/>
    <w:uiPriority w:val="0"/>
    <w:qFormat/>
    <w:pPr>
      <w:spacing w:after="120"/>
    </w:pPr>
    <w:rPr>
      <w:rFonts w:ascii="宋体" w:hAnsi="Arial" w:eastAsia="宋体" w:cs="Times New Roman"/>
      <w:bCs/>
      <w:iCs/>
      <w:szCs w:val="24"/>
    </w:rPr>
  </w:style>
  <w:style w:type="paragraph" w:styleId="1185" w:customStyle="1">
    <w:name w:val="xl27"/>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6" w:customStyle="1">
    <w:name w:val="xl26"/>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7" w:customStyle="1">
    <w:name w:val="Char"/>
    <w:basedOn w:val="931"/>
    <w:uiPriority w:val="0"/>
    <w:qFormat/>
    <w:pPr>
      <w:ind w:firstLine="200"/>
      <w:tabs>
        <w:tab w:val="left" w:pos="360" w:leader="none"/>
      </w:tabs>
    </w:pPr>
    <w:rPr>
      <w:rFonts w:ascii="Times New Roman" w:hAnsi="Times New Roman" w:eastAsia="宋体" w:cs="Times New Roman"/>
      <w:sz w:val="28"/>
      <w:szCs w:val="30"/>
    </w:rPr>
  </w:style>
  <w:style w:type="paragraph" w:styleId="1188" w:customStyle="1">
    <w:name w:val=" Char"/>
    <w:basedOn w:val="1136"/>
    <w:uiPriority w:val="0"/>
    <w:qFormat/>
    <w:rPr>
      <w:rFonts w:ascii="Tahoma" w:hAnsi="Tahoma"/>
      <w:sz w:val="24"/>
      <w:szCs w:val="24"/>
    </w:rPr>
  </w:style>
  <w:style w:type="paragraph" w:styleId="1189" w:customStyle="1">
    <w:name w:val="普通正文"/>
    <w:basedOn w:val="931"/>
    <w:uiPriority w:val="0"/>
    <w:qFormat/>
    <w:pPr>
      <w:ind w:firstLine="480"/>
      <w:jc w:val="left"/>
      <w:spacing w:before="120" w:after="120" w:line="360" w:lineRule="auto"/>
    </w:pPr>
    <w:rPr>
      <w:rFonts w:ascii="Arial" w:hAnsi="Arial" w:eastAsia="宋体" w:cs="Times New Roman"/>
      <w:sz w:val="24"/>
      <w:szCs w:val="24"/>
    </w:rPr>
  </w:style>
  <w:style w:type="paragraph" w:styleId="1190" w:customStyle="1">
    <w:name w:val="table_lines"/>
    <w:basedOn w:val="931"/>
    <w:uiPriority w:val="0"/>
    <w:qFormat/>
    <w:pPr>
      <w:jc w:val="left"/>
      <w:widowControl/>
    </w:pPr>
    <w:rPr>
      <w:rFonts w:ascii="Times New Roman" w:hAnsi="Times New Roman" w:eastAsia="宋体" w:cs="Times New Roman"/>
      <w:sz w:val="20"/>
      <w:szCs w:val="20"/>
      <w:lang w:val="de-DE" w:eastAsia="de-DE"/>
    </w:rPr>
  </w:style>
  <w:style w:type="paragraph" w:styleId="119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92" w:customStyle="1">
    <w:name w:val="font7"/>
    <w:basedOn w:val="93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93" w:customStyle="1">
    <w:name w:val=" Char Char Char Char"/>
    <w:basedOn w:val="1136"/>
    <w:uiPriority w:val="0"/>
    <w:qFormat/>
    <w:pPr>
      <w:spacing w:line="360" w:lineRule="auto"/>
    </w:pPr>
    <w:rPr>
      <w:rFonts w:ascii="Tahoma" w:hAnsi="Tahoma"/>
      <w:sz w:val="24"/>
      <w:szCs w:val="24"/>
    </w:rPr>
  </w:style>
  <w:style w:type="paragraph" w:styleId="1194" w:customStyle="1">
    <w:name w:val="列表段落"/>
    <w:basedOn w:val="931"/>
    <w:uiPriority w:val="0"/>
    <w:qFormat/>
    <w:pPr>
      <w:contextualSpacing/>
      <w:ind w:left="720"/>
      <w:jc w:val="left"/>
      <w:widowControl/>
    </w:pPr>
    <w:rPr>
      <w:rFonts w:ascii="Calibri" w:hAnsi="Calibri" w:eastAsia="宋体" w:cs="Times New Roman"/>
      <w:sz w:val="24"/>
      <w:szCs w:val="24"/>
      <w:lang w:eastAsia="en-US" w:bidi="en-US"/>
    </w:rPr>
  </w:style>
  <w:style w:type="paragraph" w:styleId="1195" w:customStyle="1">
    <w:name w:val="4"/>
    <w:basedOn w:val="931"/>
    <w:next w:val="1160"/>
    <w:uiPriority w:val="0"/>
    <w:qFormat/>
    <w:pPr>
      <w:ind w:firstLine="420"/>
      <w:spacing w:line="360" w:lineRule="auto"/>
    </w:pPr>
    <w:rPr>
      <w:rFonts w:ascii="Times New Roman" w:hAnsi="Times New Roman" w:eastAsia="宋体" w:cs="Times New Roman"/>
      <w:color w:val="ff0000"/>
      <w:sz w:val="24"/>
      <w:szCs w:val="24"/>
    </w:rPr>
  </w:style>
  <w:style w:type="paragraph" w:styleId="1196" w:customStyle="1">
    <w:name w:val="普通 (Web)"/>
    <w:basedOn w:val="931"/>
    <w:uiPriority w:val="0"/>
    <w:qFormat/>
    <w:pPr>
      <w:jc w:val="left"/>
      <w:spacing w:before="100" w:beforeAutospacing="1" w:after="100" w:afterAutospacing="1"/>
      <w:widowControl/>
    </w:pPr>
    <w:rPr>
      <w:rFonts w:ascii="宋体" w:hAnsi="宋体" w:eastAsia="宋体" w:cs="Times New Roman"/>
      <w:sz w:val="24"/>
      <w:szCs w:val="24"/>
    </w:rPr>
  </w:style>
  <w:style w:type="paragraph" w:styleId="1197" w:customStyle="1">
    <w:name w:val=" Char Char Char Char Char Char Char Char Char Char"/>
    <w:basedOn w:val="931"/>
    <w:uiPriority w:val="0"/>
    <w:qFormat/>
    <w:pPr>
      <w:spacing w:line="360" w:lineRule="auto"/>
    </w:pPr>
    <w:rPr>
      <w:rFonts w:ascii="Times New Roman" w:hAnsi="Times New Roman" w:eastAsia="宋体" w:cs="Times New Roman"/>
      <w:sz w:val="24"/>
      <w:szCs w:val="20"/>
    </w:rPr>
  </w:style>
  <w:style w:type="paragraph" w:styleId="1198" w:customStyle="1">
    <w:name w:val="样式1"/>
    <w:basedOn w:val="931"/>
    <w:uiPriority w:val="0"/>
    <w:qFormat/>
    <w:pPr>
      <w:numPr>
        <w:ilvl w:val="0"/>
        <w:numId w:val="3"/>
      </w:numPr>
    </w:pPr>
    <w:rPr>
      <w:rFonts w:ascii="宋体" w:hAnsi="宋体" w:eastAsia="宋体" w:cs="Times New Roman"/>
      <w:szCs w:val="21"/>
    </w:rPr>
  </w:style>
  <w:style w:type="paragraph" w:styleId="1199" w:customStyle="1">
    <w:name w:val="font6"/>
    <w:basedOn w:val="93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200" w:customStyle="1">
    <w:name w:val="xl25"/>
    <w:basedOn w:val="93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1" w:customStyle="1">
    <w:name w:val="图标"/>
    <w:basedOn w:val="931"/>
    <w:next w:val="93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202" w:customStyle="1">
    <w:name w:val="标题3"/>
    <w:basedOn w:val="931"/>
    <w:next w:val="931"/>
    <w:uiPriority w:val="0"/>
    <w:qFormat/>
    <w:pPr>
      <w:ind w:firstLine="624"/>
      <w:spacing w:line="590" w:lineRule="atLeast"/>
    </w:pPr>
    <w:rPr>
      <w:rFonts w:ascii="方正黑体_GBK" w:hAnsi="Times New Roman" w:eastAsia="方正黑体_GBK" w:cs="Times New Roman"/>
      <w:sz w:val="32"/>
      <w:szCs w:val="32"/>
    </w:rPr>
  </w:style>
  <w:style w:type="paragraph" w:styleId="1203" w:customStyle="1">
    <w:name w:val="xl24"/>
    <w:basedOn w:val="9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204" w:customStyle="1">
    <w:name w:val="xl29"/>
    <w:basedOn w:val="931"/>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205" w:customStyle="1">
    <w:name w:val="Char Char Char Char Char Char Char Char"/>
    <w:basedOn w:val="931"/>
    <w:uiPriority w:val="0"/>
    <w:qFormat/>
    <w:pPr>
      <w:jc w:val="left"/>
      <w:spacing w:after="160" w:line="240" w:lineRule="exact"/>
      <w:widowControl/>
    </w:pPr>
    <w:rPr>
      <w:rFonts w:ascii="Verdana" w:hAnsi="Verdana" w:eastAsia="宋体" w:cs="Times New Roman"/>
      <w:sz w:val="20"/>
      <w:szCs w:val="20"/>
      <w:lang w:eastAsia="en-US"/>
    </w:rPr>
  </w:style>
  <w:style w:type="paragraph" w:styleId="1206" w:customStyle="1">
    <w:name w:val="xl28"/>
    <w:basedOn w:val="93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207" w:customStyle="1">
    <w:name w:val=" Char Char Char Char Char Char Char Char"/>
    <w:basedOn w:val="931"/>
    <w:uiPriority w:val="0"/>
    <w:qFormat/>
    <w:pPr>
      <w:jc w:val="left"/>
      <w:spacing w:after="160" w:line="240" w:lineRule="exact"/>
      <w:widowControl/>
    </w:pPr>
    <w:rPr>
      <w:rFonts w:ascii="Verdana" w:hAnsi="Verdana" w:eastAsia="宋体" w:cs="Times New Roman"/>
      <w:sz w:val="20"/>
      <w:szCs w:val="20"/>
      <w:lang w:eastAsia="en-US"/>
    </w:rPr>
  </w:style>
  <w:style w:type="paragraph" w:styleId="1208" w:customStyle="1">
    <w:name w:val="xl30"/>
    <w:basedOn w:val="93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209" w:customStyle="1">
    <w:name w:val="Char Char Char Char"/>
    <w:basedOn w:val="1136"/>
    <w:uiPriority w:val="0"/>
    <w:qFormat/>
    <w:pPr>
      <w:spacing w:line="360" w:lineRule="auto"/>
    </w:pPr>
    <w:rPr>
      <w:rFonts w:ascii="Tahoma" w:hAnsi="Tahoma"/>
      <w:sz w:val="24"/>
      <w:szCs w:val="24"/>
    </w:rPr>
  </w:style>
  <w:style w:type="paragraph" w:styleId="1210" w:customStyle="1">
    <w:name w:val="table_1stline"/>
    <w:basedOn w:val="931"/>
    <w:uiPriority w:val="0"/>
    <w:qFormat/>
    <w:pPr>
      <w:jc w:val="left"/>
      <w:spacing w:before="120"/>
      <w:widowControl/>
    </w:pPr>
    <w:rPr>
      <w:rFonts w:ascii="Times New Roman" w:hAnsi="Times New Roman" w:eastAsia="宋体" w:cs="Times New Roman"/>
      <w:bCs/>
      <w:sz w:val="20"/>
      <w:szCs w:val="20"/>
      <w:lang w:val="de-DE" w:eastAsia="de-DE"/>
    </w:rPr>
  </w:style>
  <w:style w:type="paragraph" w:styleId="1211" w:customStyle="1">
    <w:name w:val="font5"/>
    <w:basedOn w:val="93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212" w:customStyle="1">
    <w:name w:val="标题1"/>
    <w:basedOn w:val="931"/>
    <w:next w:val="93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21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214"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215" w:customStyle="1">
    <w:name w:val="正文文本1"/>
    <w:basedOn w:val="931"/>
    <w:next w:val="931"/>
    <w:uiPriority w:val="0"/>
    <w:qFormat/>
    <w:rPr>
      <w:rFonts w:ascii="仿宋_GB2312" w:eastAsia="仿宋_GB2312"/>
      <w:sz w:val="24"/>
      <w:szCs w:val="20"/>
    </w:rPr>
  </w:style>
  <w:style w:type="paragraph" w:styleId="1216" w:customStyle="1">
    <w:name w:val="索引 51"/>
    <w:basedOn w:val="931"/>
    <w:next w:val="931"/>
    <w:uiPriority w:val="99"/>
    <w:unhideWhenUsed/>
    <w:qFormat/>
    <w:pPr>
      <w:ind w:left="800"/>
    </w:pPr>
  </w:style>
  <w:style w:type="paragraph" w:styleId="1217" w:customStyle="1">
    <w:name w:val="HTML 预设格式1"/>
    <w:basedOn w:val="931"/>
    <w:link w:val="121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218" w:customStyle="1">
    <w:name w:val="HTML 预设格式 字符"/>
    <w:link w:val="1217"/>
    <w:uiPriority w:val="0"/>
    <w:qFormat/>
    <w:rPr>
      <w:rFonts w:ascii="黑体" w:hAnsi="Courier New" w:eastAsia="黑体" w:cs="Courier New"/>
    </w:rPr>
  </w:style>
  <w:style w:type="character" w:styleId="1219" w:customStyle="1">
    <w:name w:val="强调1"/>
    <w:link w:val="931"/>
    <w:uiPriority w:val="0"/>
    <w:qFormat/>
    <w:rPr>
      <w:b/>
      <w:bCs/>
    </w:rPr>
  </w:style>
  <w:style w:type="character" w:styleId="1220" w:customStyle="1">
    <w:name w:val="HTML 定义1"/>
    <w:link w:val="931"/>
    <w:uiPriority w:val="0"/>
    <w:qFormat/>
  </w:style>
  <w:style w:type="character" w:styleId="1221" w:customStyle="1">
    <w:name w:val="HTML 打字机1"/>
    <w:link w:val="931"/>
    <w:uiPriority w:val="0"/>
    <w:qFormat/>
    <w:rPr>
      <w:rFonts w:ascii="monospace" w:hAnsi="monospace" w:eastAsia="monospace" w:cs="monospace"/>
      <w:sz w:val="20"/>
    </w:rPr>
  </w:style>
  <w:style w:type="character" w:styleId="1222" w:customStyle="1">
    <w:name w:val="HTML 缩写1"/>
    <w:link w:val="931"/>
    <w:uiPriority w:val="0"/>
    <w:qFormat/>
    <w:rPr>
      <w:rFonts w:ascii="微软雅黑" w:hAnsi="微软雅黑" w:eastAsia="微软雅黑" w:cs="微软雅黑"/>
      <w:color w:val="ffffff"/>
      <w:sz w:val="14"/>
      <w:szCs w:val="14"/>
      <w:u w:val="none"/>
      <w:shd w:val="clear" w:color="auto" w:fill="59c2e6"/>
    </w:rPr>
  </w:style>
  <w:style w:type="character" w:styleId="1223" w:customStyle="1">
    <w:name w:val="HTML 变量1"/>
    <w:link w:val="931"/>
    <w:uiPriority w:val="0"/>
    <w:qFormat/>
    <w:rPr>
      <w:vanish/>
    </w:rPr>
  </w:style>
  <w:style w:type="character" w:styleId="1224" w:customStyle="1">
    <w:name w:val="HTML 代码1"/>
    <w:link w:val="931"/>
    <w:uiPriority w:val="0"/>
    <w:qFormat/>
    <w:rPr>
      <w:rFonts w:ascii="monospace" w:hAnsi="monospace" w:eastAsia="monospace" w:cs="monospace"/>
      <w:sz w:val="20"/>
    </w:rPr>
  </w:style>
  <w:style w:type="character" w:styleId="1225" w:customStyle="1">
    <w:name w:val="HTML 引文1"/>
    <w:link w:val="931"/>
    <w:uiPriority w:val="0"/>
    <w:qFormat/>
  </w:style>
  <w:style w:type="character" w:styleId="1226" w:customStyle="1">
    <w:name w:val="HTML 键盘1"/>
    <w:link w:val="931"/>
    <w:uiPriority w:val="0"/>
    <w:qFormat/>
    <w:rPr>
      <w:rFonts w:ascii="monospace" w:hAnsi="monospace" w:eastAsia="monospace" w:cs="monospace"/>
      <w:sz w:val="20"/>
    </w:rPr>
  </w:style>
  <w:style w:type="character" w:styleId="1227" w:customStyle="1">
    <w:name w:val="HTML 样本1"/>
    <w:link w:val="931"/>
    <w:uiPriority w:val="0"/>
    <w:qFormat/>
    <w:rPr>
      <w:rFonts w:ascii="monospace" w:hAnsi="monospace" w:eastAsia="monospace" w:cs="monospace"/>
    </w:rPr>
  </w:style>
  <w:style w:type="character" w:styleId="1228" w:customStyle="1">
    <w:name w:val="fontstyle11"/>
    <w:link w:val="931"/>
    <w:uiPriority w:val="0"/>
    <w:qFormat/>
    <w:rPr>
      <w:rFonts w:hint="eastAsia" w:ascii="宋体" w:hAnsi="宋体" w:eastAsia="宋体"/>
      <w:color w:val="000000"/>
      <w:sz w:val="22"/>
      <w:szCs w:val="22"/>
    </w:rPr>
  </w:style>
  <w:style w:type="character" w:styleId="1229" w:customStyle="1">
    <w:name w:val="标题2 Char"/>
    <w:link w:val="931"/>
    <w:uiPriority w:val="0"/>
    <w:qFormat/>
    <w:rPr>
      <w:rFonts w:ascii="方正楷体_GBK" w:hAnsi="Book Antiqua" w:eastAsia="方正楷体_GBK"/>
      <w:sz w:val="32"/>
      <w:lang w:val="en-US" w:eastAsia="zh-CN" w:bidi="ar-SA"/>
    </w:rPr>
  </w:style>
  <w:style w:type="character" w:styleId="1230" w:customStyle="1">
    <w:name w:val="jj1"/>
    <w:link w:val="931"/>
    <w:uiPriority w:val="0"/>
    <w:qFormat/>
    <w:rPr>
      <w:sz w:val="20"/>
      <w:szCs w:val="20"/>
      <w:u w:val="none"/>
    </w:rPr>
  </w:style>
  <w:style w:type="character" w:styleId="1231" w:customStyle="1">
    <w:name w:val="fontstyle01"/>
    <w:link w:val="931"/>
    <w:uiPriority w:val="0"/>
    <w:qFormat/>
    <w:rPr>
      <w:rFonts w:ascii="Calibri-Bold" w:hAnsi="Calibri-Bold"/>
      <w:b/>
      <w:bCs/>
      <w:color w:val="000000"/>
      <w:sz w:val="22"/>
      <w:szCs w:val="22"/>
    </w:rPr>
  </w:style>
  <w:style w:type="paragraph" w:styleId="1232" w:customStyle="1">
    <w:name w:val="TOC 标题"/>
    <w:basedOn w:val="1114"/>
    <w:next w:val="931"/>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33" w:customStyle="1">
    <w:name w:val="正文缩进2格"/>
    <w:basedOn w:val="931"/>
    <w:uiPriority w:val="0"/>
    <w:qFormat/>
    <w:pPr>
      <w:ind w:firstLine="639"/>
      <w:spacing w:line="600" w:lineRule="exact"/>
    </w:pPr>
    <w:rPr>
      <w:rFonts w:ascii="仿宋_GB2312" w:hAnsi="宋体" w:eastAsia="仿宋_GB2312"/>
      <w:sz w:val="31"/>
      <w:szCs w:val="28"/>
    </w:rPr>
  </w:style>
  <w:style w:type="paragraph" w:styleId="1234" w:customStyle="1">
    <w:name w:val="Char Char Char Char1 Char Char Char"/>
    <w:basedOn w:val="1136"/>
    <w:uiPriority w:val="0"/>
    <w:qFormat/>
    <w:pPr>
      <w:spacing w:line="360" w:lineRule="auto"/>
    </w:pPr>
    <w:rPr>
      <w:rFonts w:ascii="Tahoma" w:hAnsi="Tahoma"/>
      <w:sz w:val="24"/>
      <w:szCs w:val="24"/>
    </w:rPr>
  </w:style>
  <w:style w:type="paragraph" w:styleId="1235" w:customStyle="1">
    <w:name w:val="xl47"/>
    <w:basedOn w:val="931"/>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36"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37" w:customStyle="1">
    <w:name w:val="BioQuote Tekst"/>
    <w:basedOn w:val="931"/>
    <w:uiPriority w:val="0"/>
    <w:qFormat/>
    <w:pPr>
      <w:ind w:right="-1"/>
    </w:pPr>
    <w:rPr>
      <w:rFonts w:ascii="Arial" w:hAnsi="Arial"/>
      <w:sz w:val="22"/>
      <w:szCs w:val="20"/>
      <w:lang w:eastAsia="en-US"/>
    </w:rPr>
  </w:style>
  <w:style w:type="paragraph" w:styleId="1238" w:customStyle="1">
    <w:name w:val="HTML 预先格式化"/>
    <w:basedOn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39"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40" w:customStyle="1">
    <w:name w:val="默认段落字体 Para Char Char Char Char Char Char Char Char Char1 Char Char Char Char Char Char Char"/>
    <w:basedOn w:val="1136"/>
    <w:uiPriority w:val="0"/>
    <w:qFormat/>
    <w:rPr>
      <w:rFonts w:ascii="Tahoma" w:hAnsi="Tahoma"/>
      <w:sz w:val="24"/>
      <w:szCs w:val="24"/>
    </w:rPr>
  </w:style>
  <w:style w:type="paragraph" w:styleId="1241" w:customStyle="1">
    <w:name w:val="正文_1_0"/>
    <w:basedOn w:val="931"/>
    <w:uiPriority w:val="0"/>
    <w:qFormat/>
    <w:rPr>
      <w:rFonts w:ascii="Times New Roman" w:hAnsi="Times New Roman"/>
      <w:szCs w:val="24"/>
    </w:rPr>
  </w:style>
  <w:style w:type="paragraph" w:styleId="1242" w:customStyle="1">
    <w:name w:val=" Char Char Char Char1 Char Char"/>
    <w:basedOn w:val="931"/>
    <w:uiPriority w:val="0"/>
    <w:qFormat/>
    <w:pPr>
      <w:tabs>
        <w:tab w:val="left" w:pos="360" w:leader="none"/>
      </w:tabs>
    </w:pPr>
    <w:rPr>
      <w:rFonts w:ascii="Times New Roman" w:hAnsi="Times New Roman"/>
      <w:sz w:val="24"/>
      <w:szCs w:val="24"/>
    </w:rPr>
  </w:style>
  <w:style w:type="paragraph" w:styleId="1243" w:customStyle="1">
    <w:name w:val="Coms Alinea"/>
    <w:uiPriority w:val="0"/>
    <w:qFormat/>
    <w:pPr>
      <w:widowControl w:val="off"/>
    </w:pPr>
    <w:rPr>
      <w:rFonts w:hint="default" w:ascii="Arial" w:hAnsi="Arial" w:eastAsia="宋体" w:cs="Arial"/>
      <w:lang w:val="en-US" w:eastAsia="zh-CN" w:bidi="ar-SA"/>
    </w:rPr>
  </w:style>
  <w:style w:type="paragraph" w:styleId="1244" w:customStyle="1">
    <w:name w:val="标题2"/>
    <w:basedOn w:val="931"/>
    <w:next w:val="931"/>
    <w:uiPriority w:val="0"/>
    <w:qFormat/>
    <w:pPr>
      <w:jc w:val="center"/>
    </w:pPr>
    <w:rPr>
      <w:rFonts w:ascii="Times New Roman" w:hAnsi="Times New Roman" w:eastAsia="方正楷体_GBK"/>
      <w:szCs w:val="24"/>
    </w:rPr>
  </w:style>
  <w:style w:type="paragraph" w:styleId="1245" w:customStyle="1">
    <w:name w:val="WPSOffice手动目录 1"/>
    <w:uiPriority w:val="0"/>
    <w:qFormat/>
    <w:rPr>
      <w:rFonts w:hint="default" w:ascii="Times New Roman" w:hAnsi="Times New Roman" w:eastAsia="宋体" w:cs="Times New Roman"/>
      <w:lang w:val="en-US" w:eastAsia="zh-CN" w:bidi="ar-SA"/>
    </w:rPr>
  </w:style>
  <w:style w:type="paragraph" w:styleId="1246" w:customStyle="1">
    <w:name w:val="四级标题"/>
    <w:basedOn w:val="1149"/>
    <w:uiPriority w:val="0"/>
    <w:qFormat/>
    <w:pPr>
      <w:ind w:left="851" w:hanging="851"/>
      <w:jc w:val="left"/>
      <w:spacing w:line="360" w:lineRule="auto"/>
      <w:widowControl/>
      <w:tabs>
        <w:tab w:val="left" w:pos="851" w:leader="none"/>
      </w:tabs>
    </w:pPr>
    <w:rPr>
      <w:rFonts w:ascii="Arial" w:hAnsi="Arial"/>
      <w:b/>
      <w:bCs/>
      <w:szCs w:val="32"/>
    </w:rPr>
  </w:style>
  <w:style w:type="paragraph" w:styleId="1247" w:customStyle="1">
    <w:name w:val="FootnoteText1"/>
    <w:basedOn w:val="931"/>
    <w:next w:val="1248"/>
    <w:uiPriority w:val="0"/>
    <w:unhideWhenUsed/>
    <w:qFormat/>
    <w:pPr>
      <w:jc w:val="left"/>
      <w:spacing w:line="312" w:lineRule="atLeast"/>
    </w:pPr>
    <w:rPr>
      <w:rFonts w:ascii="Times New Roman" w:hAnsi="Times New Roman"/>
      <w:sz w:val="18"/>
      <w:szCs w:val="24"/>
    </w:rPr>
  </w:style>
  <w:style w:type="paragraph" w:styleId="1248" w:customStyle="1">
    <w:name w:val="Index51"/>
    <w:basedOn w:val="931"/>
    <w:next w:val="931"/>
    <w:uiPriority w:val="0"/>
    <w:unhideWhenUsed/>
    <w:qFormat/>
    <w:pPr>
      <w:ind w:left="1050" w:hanging="210"/>
      <w:jc w:val="left"/>
    </w:pPr>
    <w:rPr>
      <w:rFonts w:ascii="Times New Roman" w:hAnsi="Times New Roman"/>
      <w:sz w:val="18"/>
      <w:szCs w:val="18"/>
      <w:lang w:eastAsia="zh-TW"/>
    </w:rPr>
  </w:style>
  <w:style w:type="paragraph" w:styleId="1249" w:customStyle="1">
    <w:name w:val="正文首行缩进 21"/>
    <w:basedOn w:val="931"/>
    <w:uiPriority w:val="99"/>
    <w:unhideWhenUsed/>
    <w:qFormat/>
    <w:pPr>
      <w:ind w:firstLine="420"/>
    </w:pPr>
    <w:rPr>
      <w:rFonts w:ascii="楷体_GB2312" w:eastAsia="楷体_GB2312"/>
      <w:sz w:val="32"/>
      <w:szCs w:val="20"/>
    </w:rPr>
  </w:style>
  <w:style w:type="paragraph" w:styleId="1250" w:customStyle="1">
    <w:name w:val="寄信人地址1"/>
    <w:basedOn w:val="931"/>
    <w:uiPriority w:val="99"/>
    <w:unhideWhenUsed/>
    <w:qFormat/>
    <w:rPr>
      <w:rFonts w:ascii="Arial" w:hAnsi="Arial"/>
      <w:szCs w:val="24"/>
    </w:rPr>
  </w:style>
  <w:style w:type="paragraph" w:styleId="1251" w:customStyle="1">
    <w:name w:val="标题 11"/>
    <w:basedOn w:val="931"/>
    <w:next w:val="931"/>
    <w:uiPriority w:val="0"/>
    <w:qFormat/>
    <w:pPr>
      <w:keepNext/>
      <w:outlineLvl w:val="0"/>
    </w:pPr>
    <w:rPr>
      <w:rFonts w:ascii="楷体_GB2312" w:hAnsi="Times New Roman" w:eastAsia="楷体_GB2312"/>
      <w:sz w:val="28"/>
      <w:szCs w:val="20"/>
    </w:rPr>
  </w:style>
  <w:style w:type="table" w:styleId="1252" w:customStyle="1">
    <w:name w:val="网格型1"/>
    <w:basedOn w:val="1124"/>
    <w:uiPriority w:val="59"/>
    <w:qFormat/>
    <w:rPr>
      <w:rFonts w:ascii="Arial" w:hAnsi="Arial" w:eastAsia="宋体" w:cs="Times New Roman"/>
      <w:sz w:val="22"/>
      <w:szCs w:val="22"/>
      <w:lang w:eastAsia="en-US"/>
    </w:rPr>
    <w:tblPr/>
  </w:style>
  <w:style w:type="table" w:styleId="1253" w:customStyle="1">
    <w:name w:val="网格型2"/>
    <w:basedOn w:val="1124"/>
    <w:uiPriority w:val="59"/>
    <w:qFormat/>
    <w:rPr>
      <w:rFonts w:ascii="Arial" w:hAnsi="Arial" w:eastAsia="宋体" w:cs="Times New Roman"/>
      <w:sz w:val="22"/>
      <w:szCs w:val="22"/>
      <w:lang w:eastAsia="en-US"/>
    </w:rPr>
    <w:tblPr/>
  </w:style>
  <w:style w:type="table" w:styleId="1254" w:customStyle="1">
    <w:name w:val="网格型3"/>
    <w:basedOn w:val="1124"/>
    <w:uiPriority w:val="59"/>
    <w:qFormat/>
    <w:rPr>
      <w:rFonts w:ascii="Arial" w:hAnsi="Arial" w:eastAsia="宋体" w:cs="Times New Roman"/>
      <w:sz w:val="22"/>
      <w:szCs w:val="22"/>
      <w:lang w:eastAsia="en-US"/>
    </w:rPr>
    <w:tblPr/>
  </w:style>
  <w:style w:type="table" w:styleId="1255" w:customStyle="1">
    <w:name w:val="Table Normal"/>
    <w:uiPriority w:val="0"/>
    <w:semiHidden/>
    <w:unhideWhenUsed/>
    <w:qFormat/>
    <w:pPr>
      <w:spacing w:after="160" w:line="278" w:lineRule="auto"/>
    </w:pPr>
    <w:rPr>
      <w:rFonts w:ascii="Arial" w:hAnsi="Arial" w:eastAsia="等线" w:cs="Arial"/>
      <w:color w:val="000000"/>
      <w:sz w:val="21"/>
      <w:szCs w:val="21"/>
      <w:lang w:eastAsia="en-US"/>
    </w:rPr>
    <w:tblPr>
      <w:tblCellMar>
        <w:left w:w="0" w:type="dxa"/>
        <w:top w:w="0" w:type="dxa"/>
        <w:right w:w="0" w:type="dxa"/>
        <w:bottom w:w="0" w:type="dxa"/>
      </w:tblCellMar>
    </w:tblPr>
  </w:style>
  <w:style w:type="numbering" w:styleId="12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customXml" Target="../customXml/item1.xml" /><Relationship Id="rId21" Type="http://schemas.openxmlformats.org/officeDocument/2006/relationships/image" Target="media/image1.wmf"/><Relationship Id="rId22" Type="http://schemas.openxmlformats.org/officeDocument/2006/relationships/oleObject" Target="embeddings/oleObject1.bin"/><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陈柯柯</cp:lastModifiedBy>
  <cp:revision>195</cp:revision>
  <dcterms:created xsi:type="dcterms:W3CDTF">2023-03-27T07:28:00Z</dcterms:created>
  <dcterms:modified xsi:type="dcterms:W3CDTF">2025-11-18T09:21:22Z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eyJoZGlkIjoiMDhkZWZkOWRjZTM1ODUwNmU2ODNlNDA2MzMzOWNmZTEiLCJ1c2VySWQiOiI1MjMyNDc1MDUifQ==</vt:lpwstr>
  </property>
  <property fmtid="{D5CDD505-2E9C-101B-9397-08002B2CF9AE}" pid="3" name="KSOProductBuildVer">
    <vt:lpwstr>2052-12.1.0.23542</vt:lpwstr>
  </property>
  <property fmtid="{D5CDD505-2E9C-101B-9397-08002B2CF9AE}" pid="4" name="ICV">
    <vt:lpwstr>1178B65405A94FD38CDB3AA7D3AAFF4B_12</vt:lpwstr>
  </property>
</Properties>
</file>